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282C0">
      <w:pPr>
        <w:pStyle w:val="14"/>
        <w:jc w:val="center"/>
        <w:outlineLvl w:val="0"/>
        <w:rPr>
          <w:rFonts w:hAnsi="宋体" w:cs="宋体"/>
          <w:b/>
          <w:color w:val="auto"/>
          <w:sz w:val="72"/>
          <w:highlight w:val="none"/>
        </w:rPr>
      </w:pPr>
      <w:r>
        <w:rPr>
          <w:rFonts w:hint="eastAsia" w:hAnsi="宋体" w:cs="宋体"/>
          <w:b/>
          <w:bCs w:val="0"/>
          <w:color w:val="auto"/>
          <w:sz w:val="52"/>
          <w:szCs w:val="52"/>
          <w:highlight w:val="none"/>
          <w:lang w:eastAsia="zh-CN"/>
        </w:rPr>
        <w:t>铜官区露采商业综合楼改造提升工程（</w:t>
      </w:r>
      <w:r>
        <w:rPr>
          <w:rFonts w:hint="eastAsia" w:hAnsi="宋体" w:cs="宋体"/>
          <w:b/>
          <w:bCs w:val="0"/>
          <w:color w:val="auto"/>
          <w:sz w:val="52"/>
          <w:szCs w:val="52"/>
          <w:highlight w:val="none"/>
          <w:lang w:val="en-US" w:eastAsia="zh-CN"/>
        </w:rPr>
        <w:t>改造提升、智能化</w:t>
      </w:r>
      <w:r>
        <w:rPr>
          <w:rFonts w:hint="eastAsia" w:hAnsi="宋体" w:cs="宋体"/>
          <w:b/>
          <w:bCs w:val="0"/>
          <w:color w:val="auto"/>
          <w:sz w:val="52"/>
          <w:szCs w:val="52"/>
          <w:highlight w:val="none"/>
          <w:lang w:eastAsia="zh-CN"/>
        </w:rPr>
        <w:t>）监理服务</w:t>
      </w:r>
    </w:p>
    <w:p w14:paraId="52BF4506">
      <w:pPr>
        <w:pStyle w:val="14"/>
        <w:outlineLvl w:val="0"/>
        <w:rPr>
          <w:rFonts w:hAnsi="宋体" w:cs="宋体"/>
          <w:b/>
          <w:color w:val="auto"/>
          <w:sz w:val="72"/>
          <w:highlight w:val="none"/>
        </w:rPr>
      </w:pPr>
    </w:p>
    <w:p w14:paraId="743F16B9">
      <w:pPr>
        <w:pStyle w:val="14"/>
        <w:jc w:val="center"/>
        <w:outlineLvl w:val="0"/>
        <w:rPr>
          <w:rFonts w:hint="eastAsia" w:hAnsi="宋体" w:cs="宋体"/>
          <w:b/>
          <w:color w:val="auto"/>
          <w:sz w:val="84"/>
          <w:szCs w:val="84"/>
          <w:highlight w:val="none"/>
        </w:rPr>
      </w:pPr>
    </w:p>
    <w:p w14:paraId="6029A192">
      <w:pPr>
        <w:pStyle w:val="14"/>
        <w:jc w:val="center"/>
        <w:outlineLvl w:val="0"/>
        <w:rPr>
          <w:rFonts w:hint="eastAsia" w:hAnsi="宋体" w:cs="宋体"/>
          <w:b/>
          <w:color w:val="auto"/>
          <w:sz w:val="84"/>
          <w:szCs w:val="84"/>
          <w:highlight w:val="none"/>
        </w:rPr>
      </w:pPr>
    </w:p>
    <w:p w14:paraId="7EFE2DD2">
      <w:pPr>
        <w:pStyle w:val="14"/>
        <w:jc w:val="center"/>
        <w:outlineLvl w:val="0"/>
        <w:rPr>
          <w:rFonts w:hint="eastAsia" w:ascii="宋体" w:hAnsi="宋体" w:cs="宋体"/>
          <w:b/>
          <w:bCs/>
          <w:color w:val="auto"/>
          <w:sz w:val="30"/>
          <w:szCs w:val="30"/>
          <w:highlight w:val="none"/>
        </w:rPr>
      </w:pPr>
      <w:r>
        <w:rPr>
          <w:rFonts w:hint="eastAsia" w:hAnsi="宋体" w:cs="宋体"/>
          <w:b/>
          <w:color w:val="auto"/>
          <w:sz w:val="84"/>
          <w:szCs w:val="84"/>
          <w:highlight w:val="none"/>
        </w:rPr>
        <w:t>招标文件</w:t>
      </w:r>
    </w:p>
    <w:p w14:paraId="476B4C18">
      <w:pPr>
        <w:shd w:val="clear" w:color="auto"/>
        <w:adjustRightInd w:val="0"/>
        <w:spacing w:before="62" w:beforeLines="20" w:after="62" w:afterLines="20" w:line="360" w:lineRule="auto"/>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招标编号：</w:t>
      </w:r>
      <w:r>
        <w:rPr>
          <w:rFonts w:hint="eastAsia" w:ascii="宋体" w:hAnsi="宋体" w:cs="宋体"/>
          <w:b/>
          <w:bCs/>
          <w:color w:val="auto"/>
          <w:sz w:val="28"/>
          <w:szCs w:val="28"/>
          <w:highlight w:val="none"/>
          <w:lang w:val="en-US" w:eastAsia="zh-CN"/>
        </w:rPr>
        <w:t>皖永昌招【2026】017号</w:t>
      </w:r>
    </w:p>
    <w:p w14:paraId="3613E0DF">
      <w:pPr>
        <w:widowControl/>
        <w:jc w:val="center"/>
        <w:rPr>
          <w:rFonts w:ascii="宋体" w:hAnsi="宋体" w:cs="宋体"/>
          <w:b/>
          <w:bCs/>
          <w:color w:val="auto"/>
          <w:sz w:val="30"/>
          <w:szCs w:val="30"/>
          <w:highlight w:val="none"/>
        </w:rPr>
      </w:pPr>
    </w:p>
    <w:p w14:paraId="61CA727D">
      <w:pPr>
        <w:pStyle w:val="14"/>
        <w:outlineLvl w:val="0"/>
        <w:rPr>
          <w:rFonts w:hAnsi="宋体" w:cs="宋体"/>
          <w:b/>
          <w:color w:val="auto"/>
          <w:sz w:val="24"/>
          <w:szCs w:val="24"/>
          <w:highlight w:val="none"/>
        </w:rPr>
      </w:pPr>
    </w:p>
    <w:p w14:paraId="27E49658">
      <w:pPr>
        <w:pStyle w:val="14"/>
        <w:outlineLvl w:val="0"/>
        <w:rPr>
          <w:rFonts w:hAnsi="宋体" w:cs="宋体"/>
          <w:b/>
          <w:color w:val="auto"/>
          <w:sz w:val="24"/>
          <w:szCs w:val="24"/>
          <w:highlight w:val="none"/>
        </w:rPr>
      </w:pPr>
    </w:p>
    <w:p w14:paraId="4D8ABE26">
      <w:pPr>
        <w:pStyle w:val="14"/>
        <w:outlineLvl w:val="0"/>
        <w:rPr>
          <w:rFonts w:hAnsi="宋体" w:cs="宋体"/>
          <w:b/>
          <w:color w:val="auto"/>
          <w:sz w:val="24"/>
          <w:szCs w:val="24"/>
          <w:highlight w:val="none"/>
        </w:rPr>
      </w:pPr>
    </w:p>
    <w:p w14:paraId="0F40765E">
      <w:pPr>
        <w:pStyle w:val="14"/>
        <w:outlineLvl w:val="0"/>
        <w:rPr>
          <w:rFonts w:hAnsi="宋体" w:cs="宋体"/>
          <w:b/>
          <w:color w:val="auto"/>
          <w:sz w:val="24"/>
          <w:szCs w:val="24"/>
          <w:highlight w:val="none"/>
        </w:rPr>
      </w:pPr>
    </w:p>
    <w:p w14:paraId="0CF148ED">
      <w:pPr>
        <w:pStyle w:val="14"/>
        <w:outlineLvl w:val="0"/>
        <w:rPr>
          <w:rFonts w:hAnsi="宋体" w:cs="宋体"/>
          <w:b/>
          <w:color w:val="auto"/>
          <w:sz w:val="24"/>
          <w:szCs w:val="24"/>
          <w:highlight w:val="none"/>
        </w:rPr>
      </w:pPr>
    </w:p>
    <w:p w14:paraId="21272471">
      <w:pPr>
        <w:pStyle w:val="14"/>
        <w:outlineLvl w:val="0"/>
        <w:rPr>
          <w:rFonts w:hAnsi="宋体" w:cs="宋体"/>
          <w:b/>
          <w:color w:val="auto"/>
          <w:sz w:val="24"/>
          <w:szCs w:val="24"/>
          <w:highlight w:val="none"/>
        </w:rPr>
      </w:pPr>
    </w:p>
    <w:p w14:paraId="26588F79">
      <w:pPr>
        <w:pStyle w:val="14"/>
        <w:outlineLvl w:val="0"/>
        <w:rPr>
          <w:rFonts w:hAnsi="宋体" w:cs="宋体"/>
          <w:b/>
          <w:color w:val="auto"/>
          <w:sz w:val="24"/>
          <w:szCs w:val="24"/>
          <w:highlight w:val="none"/>
        </w:rPr>
      </w:pPr>
    </w:p>
    <w:p w14:paraId="69B1DF8A">
      <w:pPr>
        <w:pStyle w:val="14"/>
        <w:outlineLvl w:val="0"/>
        <w:rPr>
          <w:rFonts w:hAnsi="宋体" w:cs="宋体"/>
          <w:b/>
          <w:color w:val="auto"/>
          <w:sz w:val="24"/>
          <w:szCs w:val="24"/>
          <w:highlight w:val="none"/>
        </w:rPr>
      </w:pPr>
    </w:p>
    <w:p w14:paraId="3D84903F">
      <w:pPr>
        <w:pStyle w:val="14"/>
        <w:outlineLvl w:val="0"/>
        <w:rPr>
          <w:rFonts w:hAnsi="宋体" w:cs="宋体"/>
          <w:b/>
          <w:color w:val="auto"/>
          <w:sz w:val="24"/>
          <w:szCs w:val="24"/>
          <w:highlight w:val="none"/>
        </w:rPr>
      </w:pPr>
    </w:p>
    <w:p w14:paraId="76B95CF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hAnsi="宋体" w:eastAsia="宋体" w:cs="仿宋"/>
          <w:b/>
          <w:bCs/>
          <w:color w:val="auto"/>
          <w:sz w:val="30"/>
          <w:szCs w:val="30"/>
          <w:highlight w:val="none"/>
          <w:lang w:eastAsia="zh-CN"/>
        </w:rPr>
      </w:pPr>
      <w:r>
        <w:rPr>
          <w:rFonts w:hint="eastAsia" w:hAnsi="宋体" w:cs="仿宋"/>
          <w:b/>
          <w:bCs/>
          <w:color w:val="auto"/>
          <w:sz w:val="30"/>
          <w:szCs w:val="30"/>
          <w:highlight w:val="none"/>
        </w:rPr>
        <w:t>招标单位：</w:t>
      </w:r>
      <w:r>
        <w:rPr>
          <w:rFonts w:hint="eastAsia" w:hAnsi="宋体" w:cs="仿宋"/>
          <w:b/>
          <w:bCs/>
          <w:color w:val="auto"/>
          <w:sz w:val="30"/>
          <w:szCs w:val="30"/>
          <w:highlight w:val="none"/>
          <w:lang w:eastAsia="zh-CN"/>
        </w:rPr>
        <w:t>铜陵江城置业有限公司</w:t>
      </w:r>
    </w:p>
    <w:p w14:paraId="259544FA">
      <w:pPr>
        <w:keepNext w:val="0"/>
        <w:keepLines w:val="0"/>
        <w:pageBreakBefore w:val="0"/>
        <w:widowControl w:val="0"/>
        <w:kinsoku/>
        <w:wordWrap/>
        <w:overflowPunct/>
        <w:topLinePunct w:val="0"/>
        <w:autoSpaceDE/>
        <w:autoSpaceDN/>
        <w:bidi w:val="0"/>
        <w:adjustRightInd/>
        <w:snapToGrid/>
        <w:spacing w:line="240" w:lineRule="auto"/>
        <w:ind w:firstLine="247" w:firstLineChars="247"/>
        <w:textAlignment w:val="auto"/>
        <w:rPr>
          <w:rFonts w:hint="eastAsia" w:hAnsi="宋体" w:cs="仿宋"/>
          <w:b/>
          <w:bCs/>
          <w:color w:val="auto"/>
          <w:sz w:val="10"/>
          <w:szCs w:val="10"/>
          <w:highlight w:val="none"/>
        </w:rPr>
      </w:pPr>
    </w:p>
    <w:p w14:paraId="2C98357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hAnsi="宋体" w:eastAsia="宋体" w:cs="仿宋"/>
          <w:b/>
          <w:bCs/>
          <w:color w:val="auto"/>
          <w:sz w:val="30"/>
          <w:szCs w:val="30"/>
          <w:highlight w:val="none"/>
          <w:lang w:eastAsia="zh-CN"/>
        </w:rPr>
      </w:pPr>
      <w:r>
        <w:rPr>
          <w:rFonts w:hint="eastAsia" w:hAnsi="宋体" w:cs="仿宋"/>
          <w:b/>
          <w:bCs/>
          <w:color w:val="auto"/>
          <w:sz w:val="30"/>
          <w:szCs w:val="30"/>
          <w:highlight w:val="none"/>
        </w:rPr>
        <w:t>招标代理机构：</w:t>
      </w:r>
      <w:r>
        <w:rPr>
          <w:rFonts w:hint="eastAsia" w:hAnsi="宋体" w:cs="仿宋"/>
          <w:b/>
          <w:bCs/>
          <w:color w:val="auto"/>
          <w:sz w:val="30"/>
          <w:szCs w:val="30"/>
          <w:highlight w:val="none"/>
          <w:lang w:eastAsia="zh-CN"/>
        </w:rPr>
        <w:t>安徽永昌工程咨询管理有限公司</w:t>
      </w:r>
    </w:p>
    <w:p w14:paraId="4A4AE3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仿宋"/>
          <w:b/>
          <w:bCs/>
          <w:color w:val="auto"/>
          <w:sz w:val="10"/>
          <w:szCs w:val="10"/>
          <w:highlight w:val="none"/>
        </w:rPr>
      </w:pPr>
    </w:p>
    <w:p w14:paraId="59AA88B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hAnsi="宋体" w:eastAsia="宋体" w:cs="宋体"/>
          <w:b/>
          <w:bCs/>
          <w:color w:val="auto"/>
          <w:sz w:val="30"/>
          <w:szCs w:val="30"/>
          <w:highlight w:val="none"/>
          <w:lang w:eastAsia="zh-CN"/>
        </w:rPr>
      </w:pPr>
      <w:r>
        <w:rPr>
          <w:rFonts w:hint="eastAsia" w:hAnsi="宋体" w:cs="仿宋"/>
          <w:b/>
          <w:bCs/>
          <w:color w:val="auto"/>
          <w:sz w:val="30"/>
          <w:szCs w:val="30"/>
          <w:highlight w:val="none"/>
          <w:lang w:eastAsia="zh-CN"/>
        </w:rPr>
        <w:t>2026年</w:t>
      </w:r>
      <w:r>
        <w:rPr>
          <w:rFonts w:hint="eastAsia" w:hAnsi="宋体" w:cs="仿宋"/>
          <w:b/>
          <w:bCs/>
          <w:color w:val="auto"/>
          <w:sz w:val="30"/>
          <w:szCs w:val="30"/>
          <w:highlight w:val="none"/>
          <w:lang w:val="en-US" w:eastAsia="zh-CN"/>
        </w:rPr>
        <w:t>10</w:t>
      </w:r>
      <w:r>
        <w:rPr>
          <w:rFonts w:hint="eastAsia" w:hAnsi="宋体" w:cs="仿宋"/>
          <w:b/>
          <w:bCs/>
          <w:color w:val="auto"/>
          <w:sz w:val="30"/>
          <w:szCs w:val="30"/>
          <w:highlight w:val="none"/>
          <w:lang w:eastAsia="zh-CN"/>
        </w:rPr>
        <w:t>月</w:t>
      </w:r>
    </w:p>
    <w:p w14:paraId="0A9C4183">
      <w:pPr>
        <w:pStyle w:val="14"/>
        <w:jc w:val="center"/>
        <w:outlineLvl w:val="0"/>
        <w:rPr>
          <w:rFonts w:hint="eastAsia" w:hAnsi="宋体"/>
          <w:b/>
          <w:color w:val="auto"/>
          <w:sz w:val="28"/>
          <w:szCs w:val="28"/>
          <w:highlight w:val="none"/>
          <w:lang w:eastAsia="zh-CN"/>
        </w:rPr>
        <w:sectPr>
          <w:headerReference r:id="rId3" w:type="default"/>
          <w:footerReference r:id="rId4" w:type="even"/>
          <w:pgSz w:w="11906" w:h="16838"/>
          <w:pgMar w:top="1440" w:right="1440" w:bottom="1440" w:left="1440" w:header="794" w:footer="1134" w:gutter="0"/>
          <w:pgNumType w:fmt="decimal" w:start="1"/>
          <w:cols w:space="720" w:num="1"/>
          <w:titlePg/>
          <w:docGrid w:type="linesAndChars" w:linePitch="312" w:charSpace="0"/>
        </w:sectPr>
      </w:pPr>
      <w:bookmarkStart w:id="0" w:name="_Hlk45874549"/>
    </w:p>
    <w:p w14:paraId="294533CF">
      <w:pPr>
        <w:pStyle w:val="14"/>
        <w:jc w:val="center"/>
        <w:outlineLvl w:val="0"/>
        <w:rPr>
          <w:rFonts w:hint="eastAsia" w:hAnsi="宋体"/>
          <w:b/>
          <w:color w:val="auto"/>
          <w:sz w:val="28"/>
          <w:szCs w:val="28"/>
          <w:highlight w:val="none"/>
          <w:u w:val="single"/>
          <w:lang w:eastAsia="zh-CN"/>
        </w:rPr>
        <w:sectPr>
          <w:footerReference r:id="rId5" w:type="default"/>
          <w:pgSz w:w="11906" w:h="16838"/>
          <w:pgMar w:top="1089" w:right="1247" w:bottom="1089" w:left="1276" w:header="720" w:footer="720" w:gutter="0"/>
          <w:pgNumType w:start="1"/>
          <w:cols w:space="720" w:num="1"/>
          <w:docGrid w:type="lines" w:linePitch="312" w:charSpace="0"/>
        </w:sectPr>
      </w:pPr>
    </w:p>
    <w:p w14:paraId="106B7722">
      <w:pPr>
        <w:pStyle w:val="14"/>
        <w:jc w:val="center"/>
        <w:outlineLvl w:val="0"/>
        <w:rPr>
          <w:rFonts w:hint="eastAsia" w:hAnsi="宋体"/>
          <w:b/>
          <w:color w:val="auto"/>
          <w:sz w:val="28"/>
          <w:szCs w:val="28"/>
          <w:highlight w:val="none"/>
          <w:u w:val="single"/>
          <w:lang w:eastAsia="zh-CN"/>
        </w:rPr>
      </w:pPr>
      <w:r>
        <w:rPr>
          <w:rFonts w:hint="eastAsia" w:hAnsi="宋体"/>
          <w:b/>
          <w:color w:val="auto"/>
          <w:sz w:val="28"/>
          <w:szCs w:val="28"/>
          <w:highlight w:val="none"/>
          <w:u w:val="single"/>
          <w:lang w:eastAsia="zh-CN"/>
        </w:rPr>
        <w:t>铜官区露采商业综合楼改造提升工程（</w:t>
      </w:r>
      <w:r>
        <w:rPr>
          <w:rFonts w:hint="eastAsia" w:hAnsi="宋体"/>
          <w:b/>
          <w:color w:val="auto"/>
          <w:sz w:val="28"/>
          <w:szCs w:val="28"/>
          <w:highlight w:val="none"/>
          <w:u w:val="single"/>
          <w:lang w:val="en-US" w:eastAsia="zh-CN"/>
        </w:rPr>
        <w:t>改造提升、智能化</w:t>
      </w:r>
      <w:r>
        <w:rPr>
          <w:rFonts w:hint="eastAsia" w:hAnsi="宋体"/>
          <w:b/>
          <w:color w:val="auto"/>
          <w:sz w:val="28"/>
          <w:szCs w:val="28"/>
          <w:highlight w:val="none"/>
          <w:u w:val="single"/>
          <w:lang w:eastAsia="zh-CN"/>
        </w:rPr>
        <w:t>）监理服务</w:t>
      </w:r>
    </w:p>
    <w:p w14:paraId="15AEB83A">
      <w:pPr>
        <w:pStyle w:val="14"/>
        <w:jc w:val="center"/>
        <w:outlineLvl w:val="0"/>
        <w:rPr>
          <w:rFonts w:hAnsi="宋体"/>
          <w:b/>
          <w:color w:val="auto"/>
          <w:sz w:val="28"/>
          <w:szCs w:val="28"/>
          <w:highlight w:val="none"/>
        </w:rPr>
      </w:pPr>
      <w:r>
        <w:rPr>
          <w:rFonts w:hint="eastAsia" w:hAnsi="宋体"/>
          <w:b/>
          <w:color w:val="auto"/>
          <w:sz w:val="28"/>
          <w:szCs w:val="28"/>
          <w:highlight w:val="none"/>
        </w:rPr>
        <w:t>招标公告</w:t>
      </w:r>
    </w:p>
    <w:p w14:paraId="6EB34CEE">
      <w:pPr>
        <w:keepNext w:val="0"/>
        <w:keepLines w:val="0"/>
        <w:pageBreakBefore w:val="0"/>
        <w:kinsoku/>
        <w:wordWrap/>
        <w:overflowPunct/>
        <w:topLinePunct w:val="0"/>
        <w:autoSpaceDE/>
        <w:autoSpaceDN/>
        <w:bidi w:val="0"/>
        <w:adjustRightInd/>
        <w:snapToGrid/>
        <w:spacing w:line="460" w:lineRule="exact"/>
        <w:ind w:left="0" w:leftChars="0" w:firstLine="482" w:firstLineChars="200"/>
        <w:jc w:val="both"/>
        <w:rPr>
          <w:rFonts w:ascii="宋体" w:hAnsi="宋体"/>
          <w:b/>
          <w:color w:val="auto"/>
          <w:sz w:val="24"/>
          <w:szCs w:val="24"/>
          <w:highlight w:val="none"/>
        </w:rPr>
      </w:pPr>
      <w:bookmarkStart w:id="1" w:name="OLE_LINK1"/>
      <w:r>
        <w:rPr>
          <w:rFonts w:hint="eastAsia" w:ascii="宋体" w:hAnsi="宋体"/>
          <w:b/>
          <w:color w:val="auto"/>
          <w:sz w:val="24"/>
          <w:szCs w:val="24"/>
          <w:highlight w:val="none"/>
        </w:rPr>
        <w:t>1、招标条件</w:t>
      </w:r>
    </w:p>
    <w:p w14:paraId="6CE66893">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ascii="宋体" w:hAnsi="宋体"/>
          <w:color w:val="auto"/>
          <w:sz w:val="24"/>
          <w:szCs w:val="24"/>
          <w:highlight w:val="none"/>
        </w:rPr>
      </w:pPr>
      <w:r>
        <w:rPr>
          <w:rFonts w:hint="eastAsia" w:ascii="宋体" w:hAnsi="宋体"/>
          <w:color w:val="auto"/>
          <w:sz w:val="24"/>
          <w:szCs w:val="24"/>
          <w:highlight w:val="none"/>
        </w:rPr>
        <w:t>1.1</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工程名称：</w:t>
      </w:r>
      <w:r>
        <w:rPr>
          <w:rFonts w:hint="eastAsia" w:ascii="宋体" w:hAnsi="宋体" w:cs="Times New Roman"/>
          <w:color w:val="auto"/>
          <w:sz w:val="24"/>
          <w:szCs w:val="24"/>
          <w:highlight w:val="none"/>
          <w:u w:val="single"/>
          <w:lang w:eastAsia="zh-CN"/>
        </w:rPr>
        <w:t>铜官区露采商业综合楼改造提升工程（</w:t>
      </w:r>
      <w:r>
        <w:rPr>
          <w:rFonts w:hint="eastAsia" w:ascii="宋体" w:hAnsi="宋体" w:cs="Times New Roman"/>
          <w:color w:val="auto"/>
          <w:sz w:val="24"/>
          <w:szCs w:val="24"/>
          <w:highlight w:val="none"/>
          <w:u w:val="single"/>
          <w:lang w:val="en-US" w:eastAsia="zh-CN"/>
        </w:rPr>
        <w:t>改造提升、智能化</w:t>
      </w:r>
      <w:r>
        <w:rPr>
          <w:rFonts w:hint="eastAsia" w:ascii="宋体" w:hAnsi="宋体" w:cs="Times New Roman"/>
          <w:color w:val="auto"/>
          <w:sz w:val="24"/>
          <w:szCs w:val="24"/>
          <w:highlight w:val="none"/>
          <w:u w:val="single"/>
          <w:lang w:eastAsia="zh-CN"/>
        </w:rPr>
        <w:t>）监理服务</w:t>
      </w:r>
      <w:r>
        <w:rPr>
          <w:rFonts w:hint="eastAsia" w:ascii="宋体" w:hAnsi="宋体"/>
          <w:color w:val="auto"/>
          <w:sz w:val="24"/>
          <w:szCs w:val="24"/>
          <w:highlight w:val="none"/>
          <w:lang w:eastAsia="zh-CN"/>
        </w:rPr>
        <w:t>；</w:t>
      </w:r>
    </w:p>
    <w:p w14:paraId="69A07E42">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1.2</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项目审批、核准或备案机关名称：</w:t>
      </w:r>
      <w:r>
        <w:rPr>
          <w:rFonts w:hint="eastAsia" w:ascii="宋体" w:hAnsi="宋体" w:eastAsia="宋体" w:cs="Times New Roman"/>
          <w:color w:val="auto"/>
          <w:sz w:val="24"/>
          <w:szCs w:val="24"/>
          <w:highlight w:val="none"/>
          <w:u w:val="single"/>
          <w:lang w:eastAsia="zh-CN"/>
        </w:rPr>
        <w:t>铜陵市</w:t>
      </w:r>
      <w:r>
        <w:rPr>
          <w:rFonts w:hint="eastAsia" w:ascii="宋体" w:hAnsi="宋体" w:eastAsia="宋体" w:cs="Times New Roman"/>
          <w:color w:val="auto"/>
          <w:sz w:val="24"/>
          <w:szCs w:val="24"/>
          <w:highlight w:val="none"/>
          <w:u w:val="single"/>
          <w:lang w:val="en-US" w:eastAsia="zh-CN"/>
        </w:rPr>
        <w:t>铜官区</w:t>
      </w:r>
      <w:r>
        <w:rPr>
          <w:rFonts w:hint="eastAsia" w:ascii="宋体" w:hAnsi="宋体" w:eastAsia="宋体" w:cs="Times New Roman"/>
          <w:color w:val="auto"/>
          <w:sz w:val="24"/>
          <w:szCs w:val="24"/>
          <w:highlight w:val="none"/>
          <w:u w:val="single"/>
          <w:lang w:eastAsia="zh-CN"/>
        </w:rPr>
        <w:t>发展和改革委员会</w:t>
      </w:r>
      <w:r>
        <w:rPr>
          <w:rFonts w:hint="eastAsia" w:ascii="宋体" w:hAnsi="宋体"/>
          <w:color w:val="auto"/>
          <w:sz w:val="24"/>
          <w:szCs w:val="24"/>
          <w:highlight w:val="none"/>
          <w:lang w:eastAsia="zh-CN"/>
        </w:rPr>
        <w:t>；</w:t>
      </w:r>
    </w:p>
    <w:p w14:paraId="538F0B8A">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1.3</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批文名称及编号：</w:t>
      </w:r>
      <w:r>
        <w:rPr>
          <w:rFonts w:hint="eastAsia" w:ascii="宋体" w:hAnsi="宋体" w:eastAsia="宋体" w:cs="Times New Roman"/>
          <w:color w:val="auto"/>
          <w:sz w:val="24"/>
          <w:szCs w:val="24"/>
          <w:highlight w:val="none"/>
          <w:u w:val="single"/>
          <w:lang w:eastAsia="zh-CN"/>
        </w:rPr>
        <w:t>铜陵市铜官区发展改革委备案表</w:t>
      </w:r>
      <w:r>
        <w:rPr>
          <w:rFonts w:hint="eastAsia" w:ascii="宋体" w:hAnsi="宋体"/>
          <w:color w:val="auto"/>
          <w:sz w:val="24"/>
          <w:szCs w:val="24"/>
          <w:highlight w:val="none"/>
          <w:lang w:eastAsia="zh-CN"/>
        </w:rPr>
        <w:t>；</w:t>
      </w:r>
    </w:p>
    <w:p w14:paraId="1369A4AA">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1.4</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招标人：</w:t>
      </w:r>
      <w:r>
        <w:rPr>
          <w:rFonts w:hint="eastAsia" w:ascii="宋体" w:hAnsi="宋体" w:cs="Times New Roman"/>
          <w:color w:val="auto"/>
          <w:sz w:val="24"/>
          <w:szCs w:val="24"/>
          <w:highlight w:val="none"/>
          <w:u w:val="single"/>
          <w:lang w:eastAsia="zh-CN"/>
        </w:rPr>
        <w:t>铜陵江城置业有限公司</w:t>
      </w:r>
      <w:r>
        <w:rPr>
          <w:rFonts w:hint="eastAsia" w:ascii="宋体" w:hAnsi="宋体"/>
          <w:color w:val="auto"/>
          <w:sz w:val="24"/>
          <w:szCs w:val="24"/>
          <w:highlight w:val="none"/>
          <w:lang w:eastAsia="zh-CN"/>
        </w:rPr>
        <w:t>；</w:t>
      </w:r>
    </w:p>
    <w:p w14:paraId="2376AA5B">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1.5</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项目业主：</w:t>
      </w:r>
      <w:r>
        <w:rPr>
          <w:rFonts w:hint="eastAsia" w:ascii="宋体" w:hAnsi="宋体" w:cs="Times New Roman"/>
          <w:color w:val="auto"/>
          <w:sz w:val="24"/>
          <w:szCs w:val="24"/>
          <w:highlight w:val="none"/>
          <w:u w:val="single"/>
          <w:lang w:eastAsia="zh-CN"/>
        </w:rPr>
        <w:t>铜陵江城置业有限公司</w:t>
      </w:r>
      <w:r>
        <w:rPr>
          <w:rFonts w:hint="eastAsia" w:ascii="宋体" w:hAnsi="宋体"/>
          <w:color w:val="auto"/>
          <w:sz w:val="24"/>
          <w:szCs w:val="24"/>
          <w:highlight w:val="none"/>
          <w:lang w:eastAsia="zh-CN"/>
        </w:rPr>
        <w:t>；</w:t>
      </w:r>
    </w:p>
    <w:p w14:paraId="189B5D58">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rPr>
      </w:pPr>
      <w:r>
        <w:rPr>
          <w:rFonts w:hint="eastAsia" w:ascii="宋体" w:hAnsi="宋体"/>
          <w:color w:val="auto"/>
          <w:sz w:val="24"/>
          <w:szCs w:val="24"/>
          <w:highlight w:val="none"/>
        </w:rPr>
        <w:t>1.6</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资金来源：</w:t>
      </w:r>
      <w:r>
        <w:rPr>
          <w:rFonts w:hint="eastAsia" w:ascii="宋体" w:hAnsi="宋体" w:eastAsia="宋体" w:cs="Times New Roman"/>
          <w:color w:val="auto"/>
          <w:sz w:val="24"/>
          <w:szCs w:val="24"/>
          <w:highlight w:val="none"/>
          <w:u w:val="single"/>
          <w:lang w:val="en-US" w:eastAsia="zh-CN"/>
        </w:rPr>
        <w:t>自筹资金</w:t>
      </w:r>
      <w:r>
        <w:rPr>
          <w:rFonts w:hint="eastAsia" w:ascii="宋体" w:hAnsi="宋体"/>
          <w:color w:val="auto"/>
          <w:sz w:val="24"/>
          <w:szCs w:val="24"/>
          <w:highlight w:val="none"/>
          <w:lang w:val="en-US" w:eastAsia="zh-CN"/>
        </w:rPr>
        <w:t>；</w:t>
      </w:r>
    </w:p>
    <w:p w14:paraId="26B007D8">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1.7</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项目出资比例：</w:t>
      </w:r>
      <w:r>
        <w:rPr>
          <w:rFonts w:hint="eastAsia" w:ascii="宋体" w:hAnsi="宋体" w:eastAsia="宋体" w:cs="Times New Roman"/>
          <w:color w:val="auto"/>
          <w:sz w:val="24"/>
          <w:szCs w:val="24"/>
          <w:highlight w:val="none"/>
          <w:u w:val="single"/>
          <w:lang w:val="en-US" w:eastAsia="zh-CN"/>
        </w:rPr>
        <w:t>100%</w:t>
      </w:r>
      <w:r>
        <w:rPr>
          <w:rFonts w:hint="eastAsia" w:ascii="宋体" w:hAnsi="宋体"/>
          <w:color w:val="auto"/>
          <w:sz w:val="24"/>
          <w:szCs w:val="24"/>
          <w:highlight w:val="none"/>
          <w:lang w:val="en-US" w:eastAsia="zh-CN"/>
        </w:rPr>
        <w:t>；</w:t>
      </w:r>
    </w:p>
    <w:p w14:paraId="2B3D66E3">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 xml:space="preserve">1.8 </w:t>
      </w:r>
      <w:r>
        <w:rPr>
          <w:rFonts w:hint="eastAsia" w:ascii="宋体" w:hAnsi="宋体"/>
          <w:color w:val="auto"/>
          <w:sz w:val="24"/>
          <w:szCs w:val="24"/>
          <w:highlight w:val="none"/>
        </w:rPr>
        <w:t>招标方式</w:t>
      </w:r>
      <w:r>
        <w:rPr>
          <w:rFonts w:hint="eastAsia" w:ascii="宋体" w:hAnsi="宋体"/>
          <w:color w:val="auto"/>
          <w:sz w:val="24"/>
          <w:szCs w:val="24"/>
          <w:highlight w:val="none"/>
          <w:lang w:eastAsia="zh-CN"/>
        </w:rPr>
        <w:t>：</w:t>
      </w:r>
      <w:r>
        <w:rPr>
          <w:rFonts w:hint="eastAsia" w:ascii="宋体" w:hAnsi="宋体" w:eastAsia="宋体" w:cs="Times New Roman"/>
          <w:color w:val="auto"/>
          <w:sz w:val="24"/>
          <w:szCs w:val="24"/>
          <w:highlight w:val="none"/>
          <w:u w:val="single"/>
          <w:lang w:eastAsia="zh-CN"/>
        </w:rPr>
        <w:t>公开招标</w:t>
      </w:r>
      <w:r>
        <w:rPr>
          <w:rFonts w:hint="eastAsia" w:ascii="宋体" w:hAnsi="宋体"/>
          <w:color w:val="auto"/>
          <w:sz w:val="24"/>
          <w:szCs w:val="24"/>
          <w:highlight w:val="none"/>
          <w:lang w:eastAsia="zh-CN"/>
        </w:rPr>
        <w:t>；</w:t>
      </w:r>
    </w:p>
    <w:p w14:paraId="29EE366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 xml:space="preserve">1.9 </w:t>
      </w:r>
      <w:r>
        <w:rPr>
          <w:rFonts w:hint="eastAsia" w:ascii="宋体" w:hAnsi="宋体"/>
          <w:color w:val="auto"/>
          <w:sz w:val="24"/>
          <w:szCs w:val="24"/>
          <w:highlight w:val="none"/>
        </w:rPr>
        <w:t>评标办法：</w:t>
      </w:r>
      <w:r>
        <w:rPr>
          <w:rFonts w:hint="eastAsia" w:ascii="宋体" w:hAnsi="宋体" w:eastAsia="宋体" w:cs="Times New Roman"/>
          <w:color w:val="auto"/>
          <w:sz w:val="24"/>
          <w:szCs w:val="24"/>
          <w:highlight w:val="none"/>
          <w:u w:val="single"/>
          <w:lang w:eastAsia="zh-CN"/>
        </w:rPr>
        <w:t>综合评估法</w:t>
      </w:r>
      <w:r>
        <w:rPr>
          <w:rFonts w:hint="eastAsia" w:ascii="宋体" w:hAnsi="宋体"/>
          <w:color w:val="auto"/>
          <w:sz w:val="24"/>
          <w:szCs w:val="24"/>
          <w:highlight w:val="none"/>
          <w:lang w:eastAsia="zh-CN"/>
        </w:rPr>
        <w:t>；</w:t>
      </w:r>
    </w:p>
    <w:p w14:paraId="4111A3AA">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lang w:eastAsia="zh-CN"/>
        </w:rPr>
      </w:pPr>
      <w:r>
        <w:rPr>
          <w:rFonts w:hint="eastAsia" w:ascii="宋体" w:hAnsi="宋体"/>
          <w:color w:val="auto"/>
          <w:sz w:val="24"/>
          <w:szCs w:val="24"/>
          <w:highlight w:val="none"/>
        </w:rPr>
        <w:t>1.10</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定标方法：本次招标</w:t>
      </w:r>
      <w:r>
        <w:rPr>
          <w:rFonts w:hint="eastAsia" w:ascii="宋体" w:hAnsi="宋体" w:eastAsia="宋体" w:cs="Times New Roman"/>
          <w:color w:val="auto"/>
          <w:sz w:val="24"/>
          <w:szCs w:val="24"/>
          <w:highlight w:val="none"/>
          <w:u w:val="single"/>
          <w:lang w:eastAsia="zh-CN"/>
        </w:rPr>
        <w:t>不采用</w:t>
      </w:r>
      <w:r>
        <w:rPr>
          <w:rFonts w:hint="eastAsia" w:ascii="宋体" w:hAnsi="宋体"/>
          <w:color w:val="auto"/>
          <w:sz w:val="24"/>
          <w:szCs w:val="24"/>
          <w:highlight w:val="none"/>
        </w:rPr>
        <w:t>评定分离</w:t>
      </w:r>
      <w:r>
        <w:rPr>
          <w:rFonts w:hint="eastAsia" w:ascii="宋体" w:hAnsi="宋体"/>
          <w:color w:val="auto"/>
          <w:sz w:val="24"/>
          <w:szCs w:val="24"/>
          <w:highlight w:val="none"/>
          <w:lang w:eastAsia="zh-CN"/>
        </w:rPr>
        <w:t>。</w:t>
      </w:r>
    </w:p>
    <w:p w14:paraId="061EF73A">
      <w:pPr>
        <w:keepNext w:val="0"/>
        <w:keepLines w:val="0"/>
        <w:pageBreakBefore w:val="0"/>
        <w:kinsoku/>
        <w:wordWrap/>
        <w:overflowPunct/>
        <w:topLinePunct w:val="0"/>
        <w:autoSpaceDE/>
        <w:autoSpaceDN/>
        <w:bidi w:val="0"/>
        <w:adjustRightInd/>
        <w:snapToGrid/>
        <w:spacing w:line="460" w:lineRule="exact"/>
        <w:ind w:left="0" w:leftChars="0"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2、</w:t>
      </w:r>
      <w:r>
        <w:rPr>
          <w:rFonts w:hint="eastAsia" w:ascii="宋体" w:hAnsi="宋体"/>
          <w:b/>
          <w:color w:val="auto"/>
          <w:sz w:val="24"/>
          <w:szCs w:val="24"/>
          <w:highlight w:val="none"/>
          <w:lang w:val="en-US" w:eastAsia="zh-CN"/>
        </w:rPr>
        <w:t>项目</w:t>
      </w:r>
      <w:r>
        <w:rPr>
          <w:rFonts w:hint="eastAsia" w:ascii="宋体" w:hAnsi="宋体"/>
          <w:b/>
          <w:color w:val="auto"/>
          <w:sz w:val="24"/>
          <w:szCs w:val="24"/>
          <w:highlight w:val="none"/>
        </w:rPr>
        <w:t>概况与招标范围</w:t>
      </w:r>
    </w:p>
    <w:p w14:paraId="30DDC3B2">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ascii="宋体" w:hAnsi="宋体"/>
          <w:color w:val="auto"/>
          <w:sz w:val="24"/>
          <w:szCs w:val="24"/>
          <w:highlight w:val="none"/>
          <w:u w:val="single"/>
        </w:rPr>
      </w:pPr>
      <w:r>
        <w:rPr>
          <w:rFonts w:hint="eastAsia" w:ascii="宋体" w:hAnsi="宋体"/>
          <w:color w:val="auto"/>
          <w:sz w:val="24"/>
          <w:szCs w:val="24"/>
          <w:highlight w:val="none"/>
        </w:rPr>
        <w:t>2.1 招标项目名称：</w:t>
      </w:r>
      <w:r>
        <w:rPr>
          <w:rFonts w:hint="eastAsia" w:ascii="宋体" w:hAnsi="宋体"/>
          <w:color w:val="auto"/>
          <w:sz w:val="24"/>
          <w:szCs w:val="24"/>
          <w:highlight w:val="none"/>
          <w:u w:val="single"/>
          <w:lang w:eastAsia="zh-CN"/>
        </w:rPr>
        <w:t>铜官区露采商业综合楼改造提升工程（</w:t>
      </w:r>
      <w:r>
        <w:rPr>
          <w:rFonts w:hint="eastAsia" w:ascii="宋体" w:hAnsi="宋体"/>
          <w:color w:val="auto"/>
          <w:sz w:val="24"/>
          <w:szCs w:val="24"/>
          <w:highlight w:val="none"/>
          <w:u w:val="single"/>
          <w:lang w:val="en-US" w:eastAsia="zh-CN"/>
        </w:rPr>
        <w:t>改造提升、智能化</w:t>
      </w:r>
      <w:r>
        <w:rPr>
          <w:rFonts w:hint="eastAsia" w:ascii="宋体" w:hAnsi="宋体"/>
          <w:color w:val="auto"/>
          <w:sz w:val="24"/>
          <w:szCs w:val="24"/>
          <w:highlight w:val="none"/>
          <w:u w:val="single"/>
          <w:lang w:eastAsia="zh-CN"/>
        </w:rPr>
        <w:t>）监理服务</w:t>
      </w:r>
      <w:r>
        <w:rPr>
          <w:rFonts w:hint="eastAsia" w:ascii="宋体" w:hAnsi="宋体"/>
          <w:color w:val="auto"/>
          <w:sz w:val="24"/>
          <w:szCs w:val="24"/>
          <w:highlight w:val="none"/>
          <w:u w:val="none"/>
          <w:lang w:eastAsia="zh-CN"/>
        </w:rPr>
        <w:t>；</w:t>
      </w:r>
    </w:p>
    <w:p w14:paraId="19E0906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ascii="宋体" w:hAnsi="宋体"/>
          <w:color w:val="auto"/>
          <w:sz w:val="24"/>
          <w:szCs w:val="24"/>
          <w:highlight w:val="none"/>
        </w:rPr>
      </w:pPr>
      <w:r>
        <w:rPr>
          <w:rFonts w:hint="eastAsia" w:ascii="宋体" w:hAnsi="宋体"/>
          <w:color w:val="auto"/>
          <w:sz w:val="24"/>
          <w:szCs w:val="24"/>
          <w:highlight w:val="none"/>
        </w:rPr>
        <w:t>2.2</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招标项目编号：</w:t>
      </w:r>
      <w:r>
        <w:rPr>
          <w:rFonts w:hint="eastAsia" w:ascii="宋体" w:hAnsi="宋体"/>
          <w:color w:val="auto"/>
          <w:sz w:val="24"/>
          <w:szCs w:val="24"/>
          <w:highlight w:val="none"/>
          <w:u w:val="single"/>
          <w:lang w:val="en-US" w:eastAsia="zh-CN"/>
        </w:rPr>
        <w:t>皖永昌招【2026】017号</w:t>
      </w:r>
      <w:r>
        <w:rPr>
          <w:rFonts w:hint="eastAsia" w:ascii="宋体" w:hAnsi="宋体"/>
          <w:color w:val="auto"/>
          <w:sz w:val="24"/>
          <w:szCs w:val="24"/>
          <w:highlight w:val="none"/>
          <w:u w:val="none"/>
          <w:lang w:val="en-US" w:eastAsia="zh-CN"/>
        </w:rPr>
        <w:t>；</w:t>
      </w:r>
    </w:p>
    <w:p w14:paraId="059A4651">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2.3</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标段划分：</w:t>
      </w:r>
      <w:r>
        <w:rPr>
          <w:rFonts w:hint="eastAsia" w:ascii="宋体" w:hAnsi="宋体"/>
          <w:color w:val="auto"/>
          <w:sz w:val="24"/>
          <w:szCs w:val="24"/>
          <w:highlight w:val="none"/>
          <w:u w:val="single"/>
        </w:rPr>
        <w:t>一个标段</w:t>
      </w:r>
      <w:r>
        <w:rPr>
          <w:rFonts w:hint="eastAsia" w:ascii="宋体" w:hAnsi="宋体"/>
          <w:color w:val="auto"/>
          <w:sz w:val="24"/>
          <w:szCs w:val="24"/>
          <w:highlight w:val="none"/>
          <w:lang w:eastAsia="zh-CN"/>
        </w:rPr>
        <w:t>；</w:t>
      </w:r>
    </w:p>
    <w:p w14:paraId="54CCFBD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color w:val="auto"/>
          <w:sz w:val="24"/>
          <w:szCs w:val="24"/>
          <w:highlight w:val="none"/>
        </w:rPr>
      </w:pPr>
      <w:r>
        <w:rPr>
          <w:rFonts w:hint="eastAsia" w:ascii="宋体" w:hAnsi="宋体"/>
          <w:color w:val="auto"/>
          <w:sz w:val="24"/>
          <w:szCs w:val="24"/>
          <w:highlight w:val="none"/>
        </w:rPr>
        <w:t>2.4 招标项目标段编号：</w:t>
      </w:r>
      <w:r>
        <w:rPr>
          <w:rFonts w:hint="eastAsia" w:ascii="宋体" w:hAnsi="宋体"/>
          <w:color w:val="auto"/>
          <w:sz w:val="24"/>
          <w:szCs w:val="24"/>
          <w:highlight w:val="none"/>
          <w:u w:val="single"/>
          <w:lang w:val="en-US" w:eastAsia="zh-CN"/>
        </w:rPr>
        <w:t>皖永昌招【2026】017号</w:t>
      </w:r>
      <w:r>
        <w:rPr>
          <w:rFonts w:hint="eastAsia" w:ascii="宋体" w:hAnsi="宋体"/>
          <w:color w:val="auto"/>
          <w:sz w:val="24"/>
          <w:szCs w:val="24"/>
          <w:highlight w:val="none"/>
        </w:rPr>
        <w:t>；</w:t>
      </w:r>
    </w:p>
    <w:p w14:paraId="6CA1BF4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 xml:space="preserve">5 </w:t>
      </w:r>
      <w:r>
        <w:rPr>
          <w:rFonts w:hint="eastAsia" w:ascii="宋体" w:hAnsi="宋体"/>
          <w:color w:val="auto"/>
          <w:sz w:val="24"/>
          <w:szCs w:val="24"/>
          <w:highlight w:val="none"/>
        </w:rPr>
        <w:t>建设地点：</w:t>
      </w:r>
      <w:r>
        <w:rPr>
          <w:rFonts w:hint="eastAsia" w:ascii="宋体" w:hAnsi="宋体"/>
          <w:color w:val="auto"/>
          <w:sz w:val="24"/>
          <w:szCs w:val="24"/>
          <w:highlight w:val="none"/>
          <w:u w:val="single"/>
          <w:lang w:val="en-US" w:eastAsia="zh-CN"/>
        </w:rPr>
        <w:t>安徽省铜陵市宝山路西侧与铜山路交叉口位置</w:t>
      </w:r>
      <w:r>
        <w:rPr>
          <w:rFonts w:hint="eastAsia" w:ascii="宋体" w:hAnsi="宋体"/>
          <w:color w:val="auto"/>
          <w:sz w:val="24"/>
          <w:szCs w:val="24"/>
          <w:highlight w:val="none"/>
          <w:lang w:val="en-US" w:eastAsia="zh-CN"/>
        </w:rPr>
        <w:t>；</w:t>
      </w:r>
    </w:p>
    <w:p w14:paraId="3A91218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 xml:space="preserve">6 </w:t>
      </w:r>
      <w:r>
        <w:rPr>
          <w:rFonts w:hint="eastAsia" w:ascii="宋体" w:hAnsi="宋体"/>
          <w:color w:val="auto"/>
          <w:sz w:val="24"/>
          <w:szCs w:val="24"/>
          <w:highlight w:val="none"/>
        </w:rPr>
        <w:t>建设规模：</w:t>
      </w:r>
      <w:r>
        <w:rPr>
          <w:rFonts w:hint="eastAsia" w:ascii="宋体" w:hAnsi="宋体" w:eastAsia="宋体"/>
          <w:color w:val="auto"/>
          <w:sz w:val="24"/>
          <w:szCs w:val="24"/>
          <w:highlight w:val="none"/>
          <w:u w:val="single"/>
          <w:lang w:val="en-US" w:eastAsia="zh-CN"/>
        </w:rPr>
        <w:t>本项目建设内容涉及露采商业综合楼改造提升，建筑面积8847.14m²，包括改造提升、水电暖通工程、空调</w:t>
      </w:r>
      <w:r>
        <w:rPr>
          <w:rFonts w:hint="eastAsia" w:ascii="宋体" w:hAnsi="宋体" w:eastAsia="宋体" w:cs="Times New Roman"/>
          <w:color w:val="auto"/>
          <w:sz w:val="24"/>
          <w:szCs w:val="24"/>
          <w:highlight w:val="none"/>
          <w:u w:val="single"/>
          <w:lang w:val="en-US" w:eastAsia="zh-CN"/>
        </w:rPr>
        <w:t>、</w:t>
      </w:r>
      <w:r>
        <w:rPr>
          <w:rFonts w:hint="default" w:ascii="宋体" w:hAnsi="宋体" w:eastAsia="宋体" w:cs="Times New Roman"/>
          <w:color w:val="auto"/>
          <w:sz w:val="24"/>
          <w:szCs w:val="24"/>
          <w:highlight w:val="none"/>
          <w:u w:val="single"/>
          <w:lang w:val="en-US" w:eastAsia="zh-CN"/>
        </w:rPr>
        <w:t>综合布线系统、综合管路系统、计算机网络系统、综合安防系统、信息发布系统、会议系统、门禁系统、停车管理系统、执法办案区、机房工程、三网共建共享工程</w:t>
      </w:r>
      <w:r>
        <w:rPr>
          <w:rFonts w:hint="eastAsia" w:ascii="宋体" w:hAnsi="宋体" w:eastAsia="宋体" w:cs="Times New Roman"/>
          <w:color w:val="auto"/>
          <w:sz w:val="24"/>
          <w:szCs w:val="24"/>
          <w:highlight w:val="none"/>
          <w:u w:val="single"/>
          <w:lang w:val="en-US" w:eastAsia="zh-CN"/>
        </w:rPr>
        <w:t>等内容</w:t>
      </w:r>
      <w:r>
        <w:rPr>
          <w:rFonts w:hint="eastAsia" w:ascii="宋体" w:hAnsi="宋体" w:eastAsia="宋体"/>
          <w:color w:val="auto"/>
          <w:sz w:val="24"/>
          <w:szCs w:val="24"/>
          <w:highlight w:val="none"/>
          <w:u w:val="single"/>
          <w:lang w:val="en-US" w:eastAsia="zh-CN"/>
        </w:rPr>
        <w:t>。本项目建安工程费约</w:t>
      </w:r>
      <w:r>
        <w:rPr>
          <w:rFonts w:hint="eastAsia" w:ascii="宋体" w:hAnsi="宋体"/>
          <w:color w:val="auto"/>
          <w:sz w:val="24"/>
          <w:szCs w:val="24"/>
          <w:highlight w:val="none"/>
          <w:u w:val="single"/>
          <w:lang w:val="en-US" w:eastAsia="zh-CN"/>
        </w:rPr>
        <w:t>1675.48</w:t>
      </w:r>
      <w:r>
        <w:rPr>
          <w:rFonts w:hint="eastAsia" w:ascii="宋体" w:hAnsi="宋体" w:eastAsia="宋体"/>
          <w:color w:val="auto"/>
          <w:sz w:val="24"/>
          <w:szCs w:val="24"/>
          <w:highlight w:val="none"/>
          <w:u w:val="single"/>
          <w:lang w:val="en-US" w:eastAsia="zh-CN"/>
        </w:rPr>
        <w:t>万元</w:t>
      </w:r>
      <w:r>
        <w:rPr>
          <w:rFonts w:hint="eastAsia" w:ascii="宋体" w:hAnsi="宋体"/>
          <w:color w:val="auto"/>
          <w:sz w:val="24"/>
          <w:szCs w:val="24"/>
          <w:highlight w:val="none"/>
          <w:lang w:val="en-US" w:eastAsia="zh-CN"/>
        </w:rPr>
        <w:t>；</w:t>
      </w:r>
    </w:p>
    <w:p w14:paraId="52A0C2D9">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7 监理费</w:t>
      </w:r>
      <w:r>
        <w:rPr>
          <w:rFonts w:hint="eastAsia" w:ascii="宋体" w:hAnsi="宋体"/>
          <w:color w:val="auto"/>
          <w:sz w:val="24"/>
          <w:szCs w:val="24"/>
          <w:highlight w:val="none"/>
        </w:rPr>
        <w:t>最高投标限价：</w:t>
      </w:r>
      <w:r>
        <w:rPr>
          <w:rFonts w:hint="eastAsia" w:ascii="宋体" w:hAnsi="宋体"/>
          <w:color w:val="auto"/>
          <w:sz w:val="24"/>
          <w:szCs w:val="24"/>
          <w:highlight w:val="none"/>
          <w:u w:val="single"/>
          <w:lang w:val="en-US" w:eastAsia="zh-CN"/>
        </w:rPr>
        <w:t>16.75万元</w:t>
      </w:r>
      <w:r>
        <w:rPr>
          <w:rFonts w:hint="eastAsia" w:ascii="宋体" w:hAnsi="宋体"/>
          <w:color w:val="auto"/>
          <w:sz w:val="24"/>
          <w:szCs w:val="24"/>
          <w:highlight w:val="none"/>
          <w:lang w:eastAsia="zh-CN"/>
        </w:rPr>
        <w:t>；</w:t>
      </w:r>
    </w:p>
    <w:p w14:paraId="2497D27C">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 xml:space="preserve">8 </w:t>
      </w:r>
      <w:r>
        <w:rPr>
          <w:rFonts w:hint="eastAsia" w:ascii="宋体" w:hAnsi="宋体"/>
          <w:color w:val="auto"/>
          <w:sz w:val="24"/>
          <w:szCs w:val="24"/>
          <w:highlight w:val="none"/>
        </w:rPr>
        <w:t>监理服务期：</w:t>
      </w:r>
      <w:r>
        <w:rPr>
          <w:rFonts w:hint="eastAsia" w:ascii="宋体" w:hAnsi="宋体" w:eastAsia="宋体" w:cs="Times New Roman"/>
          <w:color w:val="auto"/>
          <w:sz w:val="24"/>
          <w:szCs w:val="24"/>
          <w:highlight w:val="none"/>
          <w:u w:val="single"/>
          <w:lang w:val="en-US" w:eastAsia="zh-CN"/>
        </w:rPr>
        <w:t>本项目施工总工期</w:t>
      </w:r>
      <w:r>
        <w:rPr>
          <w:rFonts w:hint="eastAsia" w:ascii="宋体" w:hAnsi="宋体" w:cs="Times New Roman"/>
          <w:color w:val="auto"/>
          <w:sz w:val="24"/>
          <w:szCs w:val="24"/>
          <w:highlight w:val="none"/>
          <w:u w:val="single"/>
          <w:lang w:val="en-US" w:eastAsia="zh-CN"/>
        </w:rPr>
        <w:t>15</w:t>
      </w:r>
      <w:r>
        <w:rPr>
          <w:rFonts w:hint="eastAsia" w:ascii="宋体" w:hAnsi="宋体" w:eastAsia="宋体" w:cs="Times New Roman"/>
          <w:color w:val="auto"/>
          <w:sz w:val="24"/>
          <w:szCs w:val="24"/>
          <w:highlight w:val="none"/>
          <w:u w:val="single"/>
          <w:lang w:val="en-US" w:eastAsia="zh-CN"/>
        </w:rPr>
        <w:t>0日历天</w:t>
      </w:r>
      <w:r>
        <w:rPr>
          <w:rFonts w:hint="eastAsia" w:ascii="宋体" w:hAnsi="宋体"/>
          <w:color w:val="auto"/>
          <w:sz w:val="24"/>
          <w:szCs w:val="24"/>
          <w:highlight w:val="none"/>
          <w:u w:val="single"/>
          <w:lang w:eastAsia="zh-CN"/>
        </w:rPr>
        <w:t>，监理服务期为工程施工准备阶段至工程竣工验收（同工程总承包合同工期）、后期结算</w:t>
      </w:r>
      <w:r>
        <w:rPr>
          <w:rFonts w:hint="eastAsia" w:ascii="宋体" w:hAnsi="宋体"/>
          <w:color w:val="auto"/>
          <w:sz w:val="24"/>
          <w:szCs w:val="24"/>
          <w:highlight w:val="none"/>
          <w:u w:val="single"/>
          <w:lang w:val="en-US" w:eastAsia="zh-CN"/>
        </w:rPr>
        <w:t>审核</w:t>
      </w:r>
      <w:r>
        <w:rPr>
          <w:rFonts w:hint="eastAsia" w:ascii="宋体" w:hAnsi="宋体"/>
          <w:color w:val="auto"/>
          <w:sz w:val="24"/>
          <w:szCs w:val="24"/>
          <w:highlight w:val="none"/>
          <w:u w:val="single"/>
          <w:lang w:eastAsia="zh-CN"/>
        </w:rPr>
        <w:t>结束及缺陷责任期满，以实际工期为准，工期增加监理费不增加</w:t>
      </w:r>
      <w:r>
        <w:rPr>
          <w:rFonts w:hint="eastAsia" w:ascii="宋体" w:hAnsi="宋体" w:eastAsia="宋体"/>
          <w:color w:val="auto"/>
          <w:sz w:val="24"/>
          <w:szCs w:val="24"/>
          <w:highlight w:val="none"/>
          <w:lang w:eastAsia="zh-CN"/>
        </w:rPr>
        <w:t>；</w:t>
      </w:r>
    </w:p>
    <w:p w14:paraId="45574594">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s="宋体"/>
          <w:color w:val="auto"/>
          <w:sz w:val="24"/>
          <w:szCs w:val="24"/>
          <w:highlight w:val="none"/>
          <w:shd w:val="clear" w:color="auto" w:fill="FFFFFF"/>
          <w:lang w:eastAsia="zh-CN"/>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9 招标范围</w:t>
      </w:r>
      <w:r>
        <w:rPr>
          <w:rFonts w:hint="eastAsia" w:ascii="宋体" w:hAnsi="宋体"/>
          <w:color w:val="auto"/>
          <w:sz w:val="24"/>
          <w:szCs w:val="24"/>
          <w:highlight w:val="none"/>
        </w:rPr>
        <w:t>：</w:t>
      </w:r>
      <w:r>
        <w:rPr>
          <w:rFonts w:hint="eastAsia" w:ascii="宋体" w:hAnsi="宋体"/>
          <w:color w:val="auto"/>
          <w:sz w:val="24"/>
          <w:szCs w:val="24"/>
          <w:highlight w:val="none"/>
          <w:u w:val="single"/>
          <w:lang w:val="en-US" w:eastAsia="zh-CN"/>
        </w:rPr>
        <w:t>包含但不限于建设内容所约定的全部工作，施工至竣工验收各阶段的进度、质量、投资控制、安全文明施工、合同、信息管理和组织协调、配合招标人工程询价与造价审核工作等监理服务和相关配套服务，做到与施工单位同步进场同步出场,以及业主安排的其他事项</w:t>
      </w:r>
      <w:r>
        <w:rPr>
          <w:rFonts w:hint="eastAsia" w:ascii="宋体" w:hAnsi="宋体" w:eastAsia="宋体" w:cs="宋体"/>
          <w:color w:val="auto"/>
          <w:sz w:val="24"/>
          <w:szCs w:val="24"/>
          <w:highlight w:val="none"/>
          <w:shd w:val="clear" w:color="auto" w:fill="FFFFFF"/>
          <w:lang w:eastAsia="zh-CN"/>
        </w:rPr>
        <w:t>；</w:t>
      </w:r>
    </w:p>
    <w:p w14:paraId="55E2FBBD">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bCs/>
          <w:color w:val="auto"/>
          <w:sz w:val="24"/>
          <w:szCs w:val="24"/>
          <w:highlight w:val="none"/>
          <w:lang w:eastAsia="zh-CN"/>
        </w:rPr>
      </w:pPr>
      <w:r>
        <w:rPr>
          <w:rFonts w:hint="eastAsia" w:ascii="宋体" w:hAnsi="宋体"/>
          <w:bCs/>
          <w:color w:val="auto"/>
          <w:sz w:val="24"/>
          <w:szCs w:val="24"/>
          <w:highlight w:val="none"/>
        </w:rPr>
        <w:t>2.10 项目类别：</w:t>
      </w:r>
      <w:r>
        <w:rPr>
          <w:rFonts w:hint="eastAsia" w:ascii="宋体" w:hAnsi="宋体"/>
          <w:bCs/>
          <w:color w:val="auto"/>
          <w:sz w:val="24"/>
          <w:szCs w:val="24"/>
          <w:highlight w:val="none"/>
          <w:u w:val="single"/>
        </w:rPr>
        <w:t>工程监理</w:t>
      </w:r>
      <w:r>
        <w:rPr>
          <w:rFonts w:hint="eastAsia" w:ascii="宋体" w:hAnsi="宋体"/>
          <w:bCs/>
          <w:color w:val="auto"/>
          <w:sz w:val="24"/>
          <w:szCs w:val="24"/>
          <w:highlight w:val="none"/>
          <w:u w:val="single"/>
          <w:lang w:val="en-US" w:eastAsia="zh-CN"/>
        </w:rPr>
        <w:t>服务</w:t>
      </w:r>
      <w:r>
        <w:rPr>
          <w:rFonts w:hint="eastAsia" w:ascii="宋体" w:hAnsi="宋体"/>
          <w:bCs/>
          <w:color w:val="auto"/>
          <w:sz w:val="24"/>
          <w:szCs w:val="24"/>
          <w:highlight w:val="none"/>
          <w:lang w:eastAsia="zh-CN"/>
        </w:rPr>
        <w:t>；</w:t>
      </w:r>
    </w:p>
    <w:p w14:paraId="3D69FA9F">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ascii="宋体" w:hAnsi="宋体"/>
          <w:bCs/>
          <w:color w:val="auto"/>
          <w:sz w:val="24"/>
          <w:szCs w:val="24"/>
          <w:highlight w:val="none"/>
        </w:rPr>
      </w:pPr>
      <w:r>
        <w:rPr>
          <w:rFonts w:hint="eastAsia" w:ascii="宋体" w:hAnsi="宋体"/>
          <w:bCs/>
          <w:color w:val="auto"/>
          <w:sz w:val="24"/>
          <w:szCs w:val="24"/>
          <w:highlight w:val="none"/>
        </w:rPr>
        <w:t>2.</w:t>
      </w:r>
      <w:r>
        <w:rPr>
          <w:rFonts w:hint="eastAsia" w:ascii="宋体" w:hAnsi="宋体"/>
          <w:bCs/>
          <w:color w:val="auto"/>
          <w:sz w:val="24"/>
          <w:szCs w:val="24"/>
          <w:highlight w:val="none"/>
          <w:lang w:val="en-US" w:eastAsia="zh-CN"/>
        </w:rPr>
        <w:t xml:space="preserve">11 </w:t>
      </w:r>
      <w:r>
        <w:rPr>
          <w:rFonts w:hint="eastAsia" w:ascii="宋体" w:hAnsi="宋体"/>
          <w:bCs/>
          <w:color w:val="auto"/>
          <w:sz w:val="24"/>
          <w:szCs w:val="24"/>
          <w:highlight w:val="none"/>
        </w:rPr>
        <w:t>其他：</w:t>
      </w:r>
      <w:r>
        <w:rPr>
          <w:rFonts w:hint="eastAsia" w:ascii="宋体" w:hAnsi="宋体"/>
          <w:bCs/>
          <w:color w:val="auto"/>
          <w:sz w:val="24"/>
          <w:szCs w:val="24"/>
          <w:highlight w:val="none"/>
          <w:u w:val="single"/>
        </w:rPr>
        <w:t xml:space="preserve"> / </w:t>
      </w:r>
      <w:r>
        <w:rPr>
          <w:rFonts w:hint="eastAsia" w:ascii="宋体" w:hAnsi="宋体"/>
          <w:bCs/>
          <w:color w:val="auto"/>
          <w:sz w:val="24"/>
          <w:szCs w:val="24"/>
          <w:highlight w:val="none"/>
        </w:rPr>
        <w:t>。</w:t>
      </w:r>
    </w:p>
    <w:p w14:paraId="029642B8">
      <w:pPr>
        <w:keepNext w:val="0"/>
        <w:keepLines w:val="0"/>
        <w:pageBreakBefore w:val="0"/>
        <w:kinsoku/>
        <w:wordWrap/>
        <w:overflowPunct/>
        <w:topLinePunct w:val="0"/>
        <w:autoSpaceDE/>
        <w:autoSpaceDN/>
        <w:bidi w:val="0"/>
        <w:adjustRightInd/>
        <w:snapToGrid/>
        <w:spacing w:line="460" w:lineRule="exact"/>
        <w:ind w:left="0" w:leftChars="0"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3、投标人资格要求</w:t>
      </w:r>
    </w:p>
    <w:p w14:paraId="1AAA4368">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 xml:space="preserve">3.1 </w:t>
      </w:r>
      <w:r>
        <w:rPr>
          <w:rFonts w:hint="eastAsia" w:ascii="宋体" w:hAnsi="宋体" w:eastAsia="宋体" w:cs="Times New Roman"/>
          <w:color w:val="auto"/>
          <w:sz w:val="24"/>
          <w:szCs w:val="24"/>
          <w:highlight w:val="none"/>
        </w:rPr>
        <w:t>投标人资质要求：</w:t>
      </w:r>
    </w:p>
    <w:p w14:paraId="40F5E7C8">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投标人须具备下列条件之一：</w:t>
      </w:r>
    </w:p>
    <w:p w14:paraId="6E687D1F">
      <w:pPr>
        <w:spacing w:line="360" w:lineRule="auto"/>
        <w:ind w:firstLine="480" w:firstLineChars="200"/>
        <w:rPr>
          <w:rFonts w:hint="eastAsia" w:ascii="宋体" w:hAnsi="宋体" w:eastAsia="宋体" w:cs="Times New Roman"/>
          <w:color w:val="auto"/>
          <w:sz w:val="24"/>
          <w:szCs w:val="24"/>
          <w:highlight w:val="none"/>
          <w:u w:val="single"/>
          <w:lang w:val="en-US" w:eastAsia="zh-CN"/>
        </w:rPr>
      </w:pPr>
      <w:r>
        <w:rPr>
          <w:rFonts w:hint="eastAsia" w:ascii="宋体" w:hAnsi="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lang w:val="en-US" w:eastAsia="zh-CN"/>
        </w:rPr>
        <w:t>投标人须具备有效的工程监理综合资质；</w:t>
      </w:r>
    </w:p>
    <w:p w14:paraId="2038ED7D">
      <w:pPr>
        <w:spacing w:line="360" w:lineRule="auto"/>
        <w:ind w:firstLine="480" w:firstLineChars="200"/>
        <w:rPr>
          <w:rFonts w:hint="eastAsia" w:ascii="宋体" w:hAnsi="宋体" w:eastAsia="宋体" w:cs="Times New Roman"/>
          <w:color w:val="auto"/>
          <w:sz w:val="24"/>
          <w:szCs w:val="24"/>
          <w:highlight w:val="none"/>
          <w:u w:val="single"/>
          <w:lang w:val="en-US" w:eastAsia="zh-CN"/>
        </w:rPr>
      </w:pPr>
      <w:r>
        <w:rPr>
          <w:rFonts w:hint="eastAsia" w:ascii="宋体" w:hAnsi="宋体" w:cs="Times New Roman"/>
          <w:color w:val="auto"/>
          <w:sz w:val="24"/>
          <w:szCs w:val="24"/>
          <w:highlight w:val="none"/>
          <w:u w:val="single"/>
          <w:lang w:val="en-US" w:eastAsia="zh-CN"/>
        </w:rPr>
        <w:t>（2）</w:t>
      </w:r>
      <w:r>
        <w:rPr>
          <w:rFonts w:hint="eastAsia" w:ascii="宋体" w:hAnsi="宋体" w:eastAsia="宋体" w:cs="Times New Roman"/>
          <w:color w:val="auto"/>
          <w:sz w:val="24"/>
          <w:szCs w:val="24"/>
          <w:highlight w:val="none"/>
          <w:u w:val="single"/>
          <w:lang w:val="en-US" w:eastAsia="zh-CN"/>
        </w:rPr>
        <w:t>投标人须具备有效的房屋建筑工程监理乙级及以上资质</w:t>
      </w:r>
      <w:r>
        <w:rPr>
          <w:rFonts w:hint="eastAsia" w:ascii="宋体" w:hAnsi="宋体" w:cs="Times New Roman"/>
          <w:color w:val="auto"/>
          <w:sz w:val="24"/>
          <w:szCs w:val="24"/>
          <w:highlight w:val="none"/>
          <w:u w:val="single"/>
          <w:lang w:val="en-US" w:eastAsia="zh-CN"/>
        </w:rPr>
        <w:t>且</w:t>
      </w:r>
      <w:r>
        <w:rPr>
          <w:rFonts w:hint="eastAsia" w:ascii="宋体" w:hAnsi="宋体" w:eastAsia="宋体" w:cs="Times New Roman"/>
          <w:color w:val="auto"/>
          <w:sz w:val="24"/>
          <w:szCs w:val="24"/>
          <w:highlight w:val="none"/>
          <w:u w:val="single"/>
          <w:lang w:val="en-US" w:eastAsia="zh-CN"/>
        </w:rPr>
        <w:t>具备有效的机电安装工程监理乙级及以上资质；</w:t>
      </w:r>
    </w:p>
    <w:p w14:paraId="16D0C5C1">
      <w:pPr>
        <w:spacing w:line="360" w:lineRule="auto"/>
        <w:ind w:firstLine="480" w:firstLineChars="200"/>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3.2</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项目总监理工程师资格要求：</w:t>
      </w:r>
      <w:bookmarkStart w:id="2" w:name="OLE_LINK15"/>
      <w:r>
        <w:rPr>
          <w:rFonts w:hint="eastAsia" w:ascii="宋体" w:hAnsi="宋体" w:eastAsia="宋体" w:cs="Times New Roman"/>
          <w:color w:val="auto"/>
          <w:sz w:val="24"/>
          <w:szCs w:val="24"/>
          <w:highlight w:val="none"/>
          <w:u w:val="single"/>
          <w:lang w:val="en-US" w:eastAsia="zh-CN"/>
        </w:rPr>
        <w:t>投标人</w:t>
      </w:r>
      <w:r>
        <w:rPr>
          <w:rFonts w:hint="eastAsia" w:ascii="宋体" w:hAnsi="宋体" w:eastAsia="宋体" w:cs="Times New Roman"/>
          <w:color w:val="auto"/>
          <w:sz w:val="24"/>
          <w:szCs w:val="24"/>
          <w:highlight w:val="none"/>
          <w:u w:val="single"/>
        </w:rPr>
        <w:t>拟派的项目总监须</w:t>
      </w:r>
      <w:r>
        <w:rPr>
          <w:rFonts w:hint="eastAsia" w:ascii="宋体" w:hAnsi="宋体" w:eastAsia="宋体" w:cs="Times New Roman"/>
          <w:color w:val="auto"/>
          <w:sz w:val="24"/>
          <w:szCs w:val="24"/>
          <w:highlight w:val="none"/>
          <w:u w:val="single"/>
          <w:lang w:val="en-US" w:eastAsia="zh-CN"/>
        </w:rPr>
        <w:t>具备房屋建筑工程专业国家注册监理工程师资格</w:t>
      </w:r>
      <w:bookmarkEnd w:id="2"/>
      <w:r>
        <w:rPr>
          <w:rFonts w:hint="eastAsia" w:ascii="宋体" w:hAnsi="宋体" w:eastAsia="宋体" w:cs="Times New Roman"/>
          <w:color w:val="auto"/>
          <w:sz w:val="24"/>
          <w:szCs w:val="24"/>
          <w:highlight w:val="none"/>
          <w:u w:val="single"/>
          <w:lang w:val="en-US" w:eastAsia="zh-CN"/>
        </w:rPr>
        <w:t>，并提供在开标截止时间前半年内（202</w:t>
      </w:r>
      <w:r>
        <w:rPr>
          <w:rFonts w:hint="eastAsia" w:ascii="宋体" w:hAnsi="宋体" w:cs="Times New Roman"/>
          <w:color w:val="auto"/>
          <w:sz w:val="24"/>
          <w:szCs w:val="24"/>
          <w:highlight w:val="none"/>
          <w:u w:val="single"/>
          <w:lang w:val="en-US" w:eastAsia="zh-CN"/>
        </w:rPr>
        <w:t>6</w:t>
      </w:r>
      <w:r>
        <w:rPr>
          <w:rFonts w:hint="eastAsia" w:ascii="宋体" w:hAnsi="宋体" w:eastAsia="宋体" w:cs="Times New Roman"/>
          <w:color w:val="auto"/>
          <w:sz w:val="24"/>
          <w:szCs w:val="24"/>
          <w:highlight w:val="none"/>
          <w:u w:val="single"/>
          <w:lang w:val="en-US" w:eastAsia="zh-CN"/>
        </w:rPr>
        <w:t>年</w:t>
      </w:r>
      <w:r>
        <w:rPr>
          <w:rFonts w:hint="eastAsia" w:ascii="宋体" w:hAnsi="宋体" w:cs="Times New Roman"/>
          <w:color w:val="auto"/>
          <w:sz w:val="24"/>
          <w:szCs w:val="24"/>
          <w:highlight w:val="none"/>
          <w:u w:val="single"/>
          <w:lang w:val="en-US" w:eastAsia="zh-CN"/>
        </w:rPr>
        <w:t>04</w:t>
      </w:r>
      <w:r>
        <w:rPr>
          <w:rFonts w:hint="eastAsia" w:ascii="宋体" w:hAnsi="宋体" w:eastAsia="宋体" w:cs="Times New Roman"/>
          <w:color w:val="auto"/>
          <w:sz w:val="24"/>
          <w:szCs w:val="24"/>
          <w:highlight w:val="none"/>
          <w:u w:val="single"/>
          <w:lang w:val="en-US" w:eastAsia="zh-CN"/>
        </w:rPr>
        <w:t>月至202</w:t>
      </w:r>
      <w:r>
        <w:rPr>
          <w:rFonts w:hint="eastAsia" w:ascii="宋体" w:hAnsi="宋体" w:cs="Times New Roman"/>
          <w:color w:val="auto"/>
          <w:sz w:val="24"/>
          <w:szCs w:val="24"/>
          <w:highlight w:val="none"/>
          <w:u w:val="single"/>
          <w:lang w:val="en-US" w:eastAsia="zh-CN"/>
        </w:rPr>
        <w:t>6</w:t>
      </w:r>
      <w:r>
        <w:rPr>
          <w:rFonts w:hint="eastAsia" w:ascii="宋体" w:hAnsi="宋体" w:eastAsia="宋体" w:cs="Times New Roman"/>
          <w:color w:val="auto"/>
          <w:sz w:val="24"/>
          <w:szCs w:val="24"/>
          <w:highlight w:val="none"/>
          <w:u w:val="single"/>
          <w:lang w:val="en-US" w:eastAsia="zh-CN"/>
        </w:rPr>
        <w:t>年</w:t>
      </w:r>
      <w:r>
        <w:rPr>
          <w:rFonts w:hint="eastAsia" w:ascii="宋体" w:hAnsi="宋体" w:cs="Times New Roman"/>
          <w:color w:val="auto"/>
          <w:sz w:val="24"/>
          <w:szCs w:val="24"/>
          <w:highlight w:val="none"/>
          <w:u w:val="single"/>
          <w:lang w:val="en-US" w:eastAsia="zh-CN"/>
        </w:rPr>
        <w:t>09</w:t>
      </w:r>
      <w:r>
        <w:rPr>
          <w:rFonts w:hint="eastAsia" w:ascii="宋体" w:hAnsi="宋体" w:eastAsia="宋体" w:cs="Times New Roman"/>
          <w:color w:val="auto"/>
          <w:sz w:val="24"/>
          <w:szCs w:val="24"/>
          <w:highlight w:val="none"/>
          <w:u w:val="single"/>
          <w:lang w:val="en-US" w:eastAsia="zh-CN"/>
        </w:rPr>
        <w:t>月）在该单位连续三个月的社保缴纳证明（或退休证明材料及劳务合同）</w:t>
      </w:r>
      <w:r>
        <w:rPr>
          <w:rFonts w:hint="eastAsia" w:ascii="宋体" w:hAnsi="宋体" w:eastAsia="宋体" w:cs="Times New Roman"/>
          <w:color w:val="auto"/>
          <w:sz w:val="24"/>
          <w:szCs w:val="24"/>
          <w:highlight w:val="none"/>
          <w:lang w:eastAsia="zh-CN"/>
        </w:rPr>
        <w:t>；</w:t>
      </w:r>
    </w:p>
    <w:p w14:paraId="1E6451BC">
      <w:pPr>
        <w:spacing w:line="360" w:lineRule="auto"/>
        <w:ind w:firstLine="480" w:firstLineChars="200"/>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lang w:val="en-US" w:eastAsia="zh-CN"/>
        </w:rPr>
        <w:t xml:space="preserve">3 </w:t>
      </w:r>
      <w:r>
        <w:rPr>
          <w:rFonts w:hint="eastAsia" w:ascii="宋体" w:hAnsi="宋体" w:eastAsia="宋体" w:cs="Times New Roman"/>
          <w:color w:val="auto"/>
          <w:sz w:val="24"/>
          <w:szCs w:val="24"/>
          <w:highlight w:val="none"/>
        </w:rPr>
        <w:t>本次招标</w:t>
      </w:r>
      <w:r>
        <w:rPr>
          <w:rFonts w:hint="eastAsia" w:ascii="宋体" w:hAnsi="宋体" w:eastAsia="宋体" w:cs="Times New Roman"/>
          <w:color w:val="auto"/>
          <w:sz w:val="24"/>
          <w:szCs w:val="24"/>
          <w:highlight w:val="none"/>
          <w:u w:val="single"/>
        </w:rPr>
        <w:t>不接受</w:t>
      </w:r>
      <w:r>
        <w:rPr>
          <w:rFonts w:hint="eastAsia" w:ascii="宋体" w:hAnsi="宋体" w:eastAsia="宋体" w:cs="Times New Roman"/>
          <w:color w:val="auto"/>
          <w:sz w:val="24"/>
          <w:szCs w:val="24"/>
          <w:highlight w:val="none"/>
        </w:rPr>
        <w:t>联合体投标</w:t>
      </w:r>
      <w:r>
        <w:rPr>
          <w:rFonts w:hint="eastAsia" w:ascii="宋体" w:hAnsi="宋体" w:eastAsia="宋体" w:cs="Times New Roman"/>
          <w:color w:val="auto"/>
          <w:sz w:val="24"/>
          <w:szCs w:val="24"/>
          <w:highlight w:val="none"/>
          <w:lang w:eastAsia="zh-CN"/>
        </w:rPr>
        <w:t>；</w:t>
      </w:r>
    </w:p>
    <w:p w14:paraId="27FA8768">
      <w:pPr>
        <w:spacing w:line="360" w:lineRule="auto"/>
        <w:ind w:firstLine="480" w:firstLineChars="200"/>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lang w:val="en-US" w:eastAsia="zh-CN"/>
        </w:rPr>
        <w:t xml:space="preserve">4 </w:t>
      </w:r>
      <w:r>
        <w:rPr>
          <w:rFonts w:hint="eastAsia" w:ascii="宋体" w:hAnsi="宋体" w:eastAsia="宋体" w:cs="Times New Roman"/>
          <w:color w:val="auto"/>
          <w:sz w:val="24"/>
          <w:szCs w:val="24"/>
          <w:highlight w:val="none"/>
        </w:rPr>
        <w:t>本项目</w:t>
      </w:r>
      <w:r>
        <w:rPr>
          <w:rFonts w:hint="eastAsia" w:ascii="宋体" w:hAnsi="宋体" w:eastAsia="宋体" w:cs="Times New Roman"/>
          <w:color w:val="auto"/>
          <w:sz w:val="24"/>
          <w:szCs w:val="24"/>
          <w:highlight w:val="none"/>
          <w:u w:val="single"/>
        </w:rPr>
        <w:t>非</w:t>
      </w:r>
      <w:r>
        <w:rPr>
          <w:rFonts w:hint="eastAsia" w:ascii="宋体" w:hAnsi="宋体" w:eastAsia="宋体" w:cs="Times New Roman"/>
          <w:color w:val="auto"/>
          <w:sz w:val="24"/>
          <w:szCs w:val="24"/>
          <w:highlight w:val="none"/>
        </w:rPr>
        <w:t>专门面向中小企业招标</w:t>
      </w:r>
      <w:r>
        <w:rPr>
          <w:rFonts w:hint="eastAsia" w:ascii="宋体" w:hAnsi="宋体" w:eastAsia="宋体" w:cs="Times New Roman"/>
          <w:color w:val="auto"/>
          <w:sz w:val="24"/>
          <w:szCs w:val="24"/>
          <w:highlight w:val="none"/>
          <w:lang w:eastAsia="zh-CN"/>
        </w:rPr>
        <w:t>；</w:t>
      </w:r>
    </w:p>
    <w:p w14:paraId="64200EB0">
      <w:pPr>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 xml:space="preserve"> 其他要求：</w:t>
      </w:r>
      <w:r>
        <w:rPr>
          <w:rFonts w:hint="eastAsia" w:ascii="宋体" w:hAnsi="宋体" w:eastAsia="宋体" w:cs="Times New Roman"/>
          <w:color w:val="auto"/>
          <w:sz w:val="24"/>
          <w:szCs w:val="24"/>
          <w:highlight w:val="none"/>
          <w:u w:val="single"/>
        </w:rPr>
        <w:t xml:space="preserve"> / </w:t>
      </w:r>
      <w:r>
        <w:rPr>
          <w:rFonts w:hint="eastAsia" w:ascii="宋体" w:hAnsi="宋体" w:eastAsia="宋体" w:cs="Times New Roman"/>
          <w:color w:val="auto"/>
          <w:sz w:val="24"/>
          <w:szCs w:val="24"/>
          <w:highlight w:val="none"/>
        </w:rPr>
        <w:t>。</w:t>
      </w:r>
    </w:p>
    <w:p w14:paraId="3E661E02">
      <w:pPr>
        <w:keepNext w:val="0"/>
        <w:keepLines w:val="0"/>
        <w:pageBreakBefore w:val="0"/>
        <w:kinsoku/>
        <w:wordWrap/>
        <w:overflowPunct/>
        <w:topLinePunct w:val="0"/>
        <w:autoSpaceDE/>
        <w:autoSpaceDN/>
        <w:bidi w:val="0"/>
        <w:adjustRightInd/>
        <w:snapToGrid/>
        <w:spacing w:line="460" w:lineRule="exact"/>
        <w:ind w:left="0" w:leftChars="0"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4、招标文件的获取方式</w:t>
      </w:r>
    </w:p>
    <w:p w14:paraId="6CD0B1A7">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ascii="宋体" w:hAnsi="宋体" w:cs="宋体"/>
          <w:color w:val="auto"/>
          <w:sz w:val="24"/>
          <w:highlight w:val="none"/>
        </w:rPr>
      </w:pPr>
      <w:r>
        <w:rPr>
          <w:rFonts w:hint="eastAsia" w:ascii="宋体" w:hAnsi="宋体" w:cs="宋体"/>
          <w:color w:val="auto"/>
          <w:sz w:val="24"/>
          <w:highlight w:val="none"/>
        </w:rPr>
        <w:t>所有招标内容均以安徽省招标投标信息网</w:t>
      </w:r>
      <w:r>
        <w:rPr>
          <w:rFonts w:hint="eastAsia" w:ascii="宋体" w:hAnsi="宋体" w:cs="宋体"/>
          <w:color w:val="auto"/>
          <w:sz w:val="24"/>
          <w:highlight w:val="none"/>
          <w:lang w:eastAsia="zh-CN"/>
        </w:rPr>
        <w:t>、安徽永昌工程咨询管理有限公司</w:t>
      </w:r>
      <w:r>
        <w:rPr>
          <w:rFonts w:hint="eastAsia" w:ascii="宋体" w:hAnsi="宋体" w:cs="宋体"/>
          <w:color w:val="auto"/>
          <w:sz w:val="24"/>
          <w:highlight w:val="none"/>
        </w:rPr>
        <w:t>网站公布的该工程招标公告、附件、答疑为准，投标人自行下载，其它任何形式的内容不作为招标投标以及开标评标的依据。请各投标人注意该网站中关于本项目的信息发布内容，如因投标人自身原因未了解公告、答疑等信息的，责任自负。</w:t>
      </w:r>
    </w:p>
    <w:p w14:paraId="50AEB622">
      <w:pPr>
        <w:adjustRightInd w:val="0"/>
        <w:snapToGrid w:val="0"/>
        <w:spacing w:line="500" w:lineRule="exact"/>
        <w:ind w:firstLine="482" w:firstLineChars="200"/>
        <w:rPr>
          <w:rFonts w:ascii="宋体" w:hAnsi="宋体"/>
          <w:b/>
          <w:color w:val="auto"/>
          <w:kern w:val="0"/>
          <w:sz w:val="24"/>
          <w:highlight w:val="none"/>
        </w:rPr>
      </w:pPr>
      <w:r>
        <w:rPr>
          <w:rFonts w:hint="eastAsia" w:ascii="宋体" w:hAnsi="宋体"/>
          <w:b/>
          <w:bCs/>
          <w:color w:val="auto"/>
          <w:kern w:val="0"/>
          <w:sz w:val="24"/>
          <w:highlight w:val="none"/>
          <w:lang w:val="en-US" w:eastAsia="zh-CN"/>
        </w:rPr>
        <w:t>5</w:t>
      </w:r>
      <w:r>
        <w:rPr>
          <w:rFonts w:ascii="宋体" w:hAnsi="宋体"/>
          <w:b/>
          <w:color w:val="auto"/>
          <w:kern w:val="0"/>
          <w:sz w:val="24"/>
          <w:highlight w:val="none"/>
        </w:rPr>
        <w:t>、</w:t>
      </w:r>
      <w:r>
        <w:rPr>
          <w:rFonts w:hint="eastAsia" w:ascii="宋体" w:hAnsi="宋体"/>
          <w:b/>
          <w:color w:val="auto"/>
          <w:kern w:val="0"/>
          <w:sz w:val="24"/>
          <w:highlight w:val="none"/>
        </w:rPr>
        <w:t>投标文件的递交</w:t>
      </w:r>
    </w:p>
    <w:p w14:paraId="75CAA4E1">
      <w:pPr>
        <w:adjustRightInd w:val="0"/>
        <w:snapToGrid w:val="0"/>
        <w:spacing w:line="500" w:lineRule="exact"/>
        <w:ind w:firstLine="480" w:firstLineChars="200"/>
        <w:rPr>
          <w:rFonts w:ascii="宋体" w:hAnsi="宋体"/>
          <w:color w:val="auto"/>
          <w:kern w:val="0"/>
          <w:sz w:val="24"/>
          <w:highlight w:val="none"/>
        </w:rPr>
      </w:pPr>
      <w:r>
        <w:rPr>
          <w:rFonts w:hint="eastAsia" w:ascii="宋体" w:hAnsi="宋体"/>
          <w:color w:val="auto"/>
          <w:kern w:val="0"/>
          <w:sz w:val="24"/>
          <w:highlight w:val="none"/>
          <w:lang w:val="en-US" w:eastAsia="zh-CN"/>
        </w:rPr>
        <w:t>5.1投标文件递交的截止时间(投标截止时间，下同)</w:t>
      </w:r>
      <w:r>
        <w:rPr>
          <w:rFonts w:ascii="宋体" w:hAnsi="宋体"/>
          <w:color w:val="auto"/>
          <w:kern w:val="0"/>
          <w:sz w:val="24"/>
          <w:highlight w:val="none"/>
        </w:rPr>
        <w:t>为：</w:t>
      </w:r>
      <w:r>
        <w:rPr>
          <w:rFonts w:hint="eastAsia" w:ascii="宋体" w:hAnsi="宋体"/>
          <w:color w:val="auto"/>
          <w:kern w:val="0"/>
          <w:sz w:val="24"/>
          <w:highlight w:val="none"/>
          <w:u w:val="single"/>
          <w:lang w:eastAsia="zh-CN"/>
        </w:rPr>
        <w:t>2026年</w:t>
      </w:r>
      <w:r>
        <w:rPr>
          <w:rFonts w:hint="eastAsia" w:ascii="宋体" w:hAnsi="宋体"/>
          <w:color w:val="auto"/>
          <w:kern w:val="0"/>
          <w:sz w:val="24"/>
          <w:highlight w:val="none"/>
          <w:u w:val="single"/>
          <w:lang w:val="en-US" w:eastAsia="zh-CN"/>
        </w:rPr>
        <w:t>10</w:t>
      </w:r>
      <w:r>
        <w:rPr>
          <w:rFonts w:hint="eastAsia" w:ascii="宋体" w:hAnsi="宋体"/>
          <w:color w:val="auto"/>
          <w:kern w:val="0"/>
          <w:sz w:val="24"/>
          <w:highlight w:val="none"/>
          <w:u w:val="single"/>
          <w:lang w:eastAsia="zh-CN"/>
        </w:rPr>
        <w:t>月</w:t>
      </w:r>
      <w:r>
        <w:rPr>
          <w:rFonts w:hint="eastAsia" w:ascii="宋体" w:hAnsi="宋体"/>
          <w:color w:val="auto"/>
          <w:kern w:val="0"/>
          <w:sz w:val="24"/>
          <w:highlight w:val="none"/>
          <w:u w:val="single"/>
          <w:lang w:val="en-US" w:eastAsia="zh-CN"/>
        </w:rPr>
        <w:t>14</w:t>
      </w:r>
      <w:r>
        <w:rPr>
          <w:rFonts w:ascii="宋体" w:hAnsi="宋体"/>
          <w:color w:val="auto"/>
          <w:kern w:val="0"/>
          <w:sz w:val="24"/>
          <w:highlight w:val="none"/>
          <w:u w:val="single"/>
        </w:rPr>
        <w:t>日</w:t>
      </w:r>
      <w:r>
        <w:rPr>
          <w:rFonts w:hint="eastAsia" w:ascii="宋体" w:hAnsi="宋体"/>
          <w:color w:val="auto"/>
          <w:kern w:val="0"/>
          <w:sz w:val="24"/>
          <w:highlight w:val="none"/>
          <w:u w:val="single"/>
          <w:lang w:val="en-US" w:eastAsia="zh-CN"/>
        </w:rPr>
        <w:t>15</w:t>
      </w:r>
      <w:r>
        <w:rPr>
          <w:rFonts w:ascii="宋体" w:hAnsi="宋体"/>
          <w:color w:val="auto"/>
          <w:kern w:val="0"/>
          <w:sz w:val="24"/>
          <w:highlight w:val="none"/>
          <w:u w:val="single"/>
        </w:rPr>
        <w:t>时</w:t>
      </w:r>
      <w:r>
        <w:rPr>
          <w:rFonts w:hint="eastAsia" w:ascii="宋体" w:hAnsi="宋体"/>
          <w:color w:val="auto"/>
          <w:kern w:val="0"/>
          <w:sz w:val="24"/>
          <w:highlight w:val="none"/>
          <w:u w:val="single"/>
          <w:lang w:val="en-US" w:eastAsia="zh-CN"/>
        </w:rPr>
        <w:t>00</w:t>
      </w:r>
      <w:r>
        <w:rPr>
          <w:rFonts w:ascii="宋体" w:hAnsi="宋体"/>
          <w:color w:val="auto"/>
          <w:kern w:val="0"/>
          <w:sz w:val="24"/>
          <w:highlight w:val="none"/>
          <w:u w:val="single"/>
        </w:rPr>
        <w:t>分</w:t>
      </w:r>
      <w:r>
        <w:rPr>
          <w:rFonts w:hint="eastAsia" w:ascii="宋体" w:hAnsi="宋体"/>
          <w:color w:val="auto"/>
          <w:kern w:val="0"/>
          <w:sz w:val="24"/>
          <w:highlight w:val="none"/>
          <w:u w:val="none"/>
        </w:rPr>
        <w:t>。</w:t>
      </w:r>
    </w:p>
    <w:p w14:paraId="734731AD">
      <w:pPr>
        <w:adjustRightInd w:val="0"/>
        <w:snapToGrid w:val="0"/>
        <w:spacing w:line="500" w:lineRule="exact"/>
        <w:ind w:firstLine="480" w:firstLineChars="200"/>
        <w:rPr>
          <w:rFonts w:ascii="宋体" w:hAnsi="宋体"/>
          <w:b w:val="0"/>
          <w:bCs w:val="0"/>
          <w:color w:val="auto"/>
          <w:kern w:val="0"/>
          <w:sz w:val="24"/>
          <w:highlight w:val="none"/>
        </w:rPr>
      </w:pPr>
      <w:r>
        <w:rPr>
          <w:rFonts w:hint="eastAsia" w:ascii="宋体" w:hAnsi="宋体"/>
          <w:color w:val="auto"/>
          <w:kern w:val="0"/>
          <w:sz w:val="24"/>
          <w:highlight w:val="none"/>
          <w:lang w:val="en-US" w:eastAsia="zh-CN"/>
        </w:rPr>
        <w:t>5.2</w:t>
      </w:r>
      <w:r>
        <w:rPr>
          <w:rFonts w:ascii="宋体" w:hAnsi="宋体"/>
          <w:color w:val="auto"/>
          <w:kern w:val="0"/>
          <w:sz w:val="24"/>
          <w:highlight w:val="none"/>
        </w:rPr>
        <w:t>投标文件递送的地点（开标地点</w:t>
      </w:r>
      <w:r>
        <w:rPr>
          <w:rFonts w:ascii="宋体" w:hAnsi="宋体"/>
          <w:b w:val="0"/>
          <w:bCs w:val="0"/>
          <w:color w:val="auto"/>
          <w:kern w:val="0"/>
          <w:sz w:val="24"/>
          <w:highlight w:val="none"/>
        </w:rPr>
        <w:t>）为：</w:t>
      </w:r>
      <w:r>
        <w:rPr>
          <w:rFonts w:hint="eastAsia" w:ascii="宋体" w:hAnsi="宋体" w:cs="宋体"/>
          <w:b w:val="0"/>
          <w:bCs w:val="0"/>
          <w:color w:val="auto"/>
          <w:kern w:val="0"/>
          <w:sz w:val="24"/>
          <w:highlight w:val="none"/>
          <w:u w:val="single"/>
          <w:lang w:eastAsia="zh-CN"/>
        </w:rPr>
        <w:t>安徽永昌工程咨询管理有限公司开标室</w:t>
      </w:r>
      <w:r>
        <w:rPr>
          <w:rFonts w:hint="eastAsia" w:ascii="宋体" w:hAnsi="宋体"/>
          <w:b w:val="0"/>
          <w:bCs w:val="0"/>
          <w:color w:val="auto"/>
          <w:kern w:val="0"/>
          <w:sz w:val="24"/>
          <w:highlight w:val="none"/>
          <w:u w:val="none"/>
        </w:rPr>
        <w:t>。</w:t>
      </w:r>
    </w:p>
    <w:p w14:paraId="24E8D729">
      <w:pPr>
        <w:adjustRightInd w:val="0"/>
        <w:snapToGrid w:val="0"/>
        <w:spacing w:line="500" w:lineRule="exact"/>
        <w:ind w:firstLine="480" w:firstLineChars="200"/>
        <w:rPr>
          <w:rFonts w:hint="eastAsia" w:ascii="宋体" w:hAnsi="宋体" w:eastAsia="宋体"/>
          <w:color w:val="auto"/>
          <w:kern w:val="0"/>
          <w:sz w:val="24"/>
          <w:highlight w:val="none"/>
        </w:rPr>
      </w:pPr>
      <w:r>
        <w:rPr>
          <w:rFonts w:hint="eastAsia" w:ascii="宋体" w:hAnsi="宋体" w:eastAsia="宋体"/>
          <w:color w:val="auto"/>
          <w:kern w:val="0"/>
          <w:sz w:val="24"/>
          <w:highlight w:val="none"/>
          <w:lang w:val="en-US" w:eastAsia="zh-CN"/>
        </w:rPr>
        <w:t>5.3</w:t>
      </w:r>
      <w:r>
        <w:rPr>
          <w:rFonts w:hint="eastAsia" w:ascii="宋体" w:hAnsi="宋体" w:eastAsia="宋体"/>
          <w:color w:val="auto"/>
          <w:kern w:val="0"/>
          <w:sz w:val="24"/>
          <w:highlight w:val="none"/>
        </w:rPr>
        <w:t>逾期送达的或者未送达指定地点的投标文件，</w:t>
      </w:r>
      <w:r>
        <w:rPr>
          <w:rFonts w:hint="eastAsia" w:ascii="宋体" w:hAnsi="宋体" w:eastAsia="宋体"/>
          <w:color w:val="auto"/>
          <w:kern w:val="0"/>
          <w:sz w:val="24"/>
          <w:highlight w:val="none"/>
          <w:lang w:val="en-US" w:eastAsia="zh-CN"/>
        </w:rPr>
        <w:t>招标人</w:t>
      </w:r>
      <w:r>
        <w:rPr>
          <w:rFonts w:hint="eastAsia" w:ascii="宋体" w:hAnsi="宋体" w:eastAsia="宋体"/>
          <w:color w:val="auto"/>
          <w:kern w:val="0"/>
          <w:sz w:val="24"/>
          <w:highlight w:val="none"/>
        </w:rPr>
        <w:t>不予受理。</w:t>
      </w:r>
    </w:p>
    <w:p w14:paraId="6C62368A">
      <w:pPr>
        <w:adjustRightInd w:val="0"/>
        <w:snapToGrid w:val="0"/>
        <w:spacing w:line="500" w:lineRule="exact"/>
        <w:ind w:firstLine="482" w:firstLineChars="200"/>
        <w:rPr>
          <w:rFonts w:hint="eastAsia" w:ascii="宋体" w:hAnsi="宋体" w:eastAsia="宋体"/>
          <w:b/>
          <w:color w:val="auto"/>
          <w:kern w:val="0"/>
          <w:sz w:val="24"/>
          <w:highlight w:val="none"/>
        </w:rPr>
      </w:pPr>
      <w:bookmarkStart w:id="3" w:name="_Toc120089508"/>
      <w:r>
        <w:rPr>
          <w:rFonts w:hint="eastAsia" w:ascii="宋体" w:hAnsi="宋体" w:eastAsia="宋体"/>
          <w:b/>
          <w:color w:val="auto"/>
          <w:kern w:val="0"/>
          <w:sz w:val="24"/>
          <w:highlight w:val="none"/>
        </w:rPr>
        <w:t>6. 开标时间及地点</w:t>
      </w:r>
      <w:bookmarkEnd w:id="3"/>
    </w:p>
    <w:p w14:paraId="66605205">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6.1 开标时间：</w:t>
      </w:r>
      <w:r>
        <w:rPr>
          <w:rFonts w:hint="eastAsia" w:ascii="宋体" w:hAnsi="宋体" w:eastAsia="宋体"/>
          <w:color w:val="auto"/>
          <w:kern w:val="0"/>
          <w:sz w:val="24"/>
          <w:highlight w:val="none"/>
          <w:u w:val="single"/>
          <w:lang w:val="en-US" w:eastAsia="zh-CN"/>
        </w:rPr>
        <w:t>2026年</w:t>
      </w:r>
      <w:r>
        <w:rPr>
          <w:rFonts w:hint="eastAsia" w:ascii="宋体" w:hAnsi="宋体"/>
          <w:color w:val="auto"/>
          <w:kern w:val="0"/>
          <w:sz w:val="24"/>
          <w:highlight w:val="none"/>
          <w:u w:val="single"/>
          <w:lang w:val="en-US" w:eastAsia="zh-CN"/>
        </w:rPr>
        <w:t>10</w:t>
      </w:r>
      <w:r>
        <w:rPr>
          <w:rFonts w:hint="eastAsia" w:ascii="宋体" w:hAnsi="宋体" w:eastAsia="宋体"/>
          <w:color w:val="auto"/>
          <w:kern w:val="0"/>
          <w:sz w:val="24"/>
          <w:highlight w:val="none"/>
          <w:u w:val="single"/>
          <w:lang w:val="en-US" w:eastAsia="zh-CN"/>
        </w:rPr>
        <w:t>月</w:t>
      </w:r>
      <w:r>
        <w:rPr>
          <w:rFonts w:hint="eastAsia" w:ascii="宋体" w:hAnsi="宋体"/>
          <w:color w:val="auto"/>
          <w:kern w:val="0"/>
          <w:sz w:val="24"/>
          <w:highlight w:val="none"/>
          <w:u w:val="single"/>
          <w:lang w:val="en-US" w:eastAsia="zh-CN"/>
        </w:rPr>
        <w:t>14</w:t>
      </w:r>
      <w:r>
        <w:rPr>
          <w:rFonts w:hint="eastAsia" w:ascii="宋体" w:hAnsi="宋体" w:eastAsia="宋体"/>
          <w:color w:val="auto"/>
          <w:kern w:val="0"/>
          <w:sz w:val="24"/>
          <w:highlight w:val="none"/>
          <w:u w:val="single"/>
          <w:lang w:val="en-US" w:eastAsia="zh-CN"/>
        </w:rPr>
        <w:t>日</w:t>
      </w:r>
      <w:r>
        <w:rPr>
          <w:rFonts w:hint="eastAsia" w:ascii="宋体" w:hAnsi="宋体"/>
          <w:color w:val="auto"/>
          <w:kern w:val="0"/>
          <w:sz w:val="24"/>
          <w:highlight w:val="none"/>
          <w:u w:val="single"/>
          <w:lang w:val="en-US" w:eastAsia="zh-CN"/>
        </w:rPr>
        <w:t>15</w:t>
      </w:r>
      <w:r>
        <w:rPr>
          <w:rFonts w:hint="eastAsia" w:ascii="宋体" w:hAnsi="宋体" w:eastAsia="宋体"/>
          <w:color w:val="auto"/>
          <w:kern w:val="0"/>
          <w:sz w:val="24"/>
          <w:highlight w:val="none"/>
          <w:u w:val="single"/>
          <w:lang w:val="en-US" w:eastAsia="zh-CN"/>
        </w:rPr>
        <w:t>时</w:t>
      </w:r>
      <w:r>
        <w:rPr>
          <w:rFonts w:hint="eastAsia" w:ascii="宋体" w:hAnsi="宋体"/>
          <w:color w:val="auto"/>
          <w:kern w:val="0"/>
          <w:sz w:val="24"/>
          <w:highlight w:val="none"/>
          <w:u w:val="single"/>
          <w:lang w:val="en-US" w:eastAsia="zh-CN"/>
        </w:rPr>
        <w:t>0</w:t>
      </w:r>
      <w:r>
        <w:rPr>
          <w:rFonts w:hint="eastAsia" w:ascii="宋体" w:hAnsi="宋体" w:eastAsia="宋体"/>
          <w:color w:val="auto"/>
          <w:kern w:val="0"/>
          <w:sz w:val="24"/>
          <w:highlight w:val="none"/>
          <w:u w:val="single"/>
          <w:lang w:val="en-US" w:eastAsia="zh-CN"/>
        </w:rPr>
        <w:t>0分</w:t>
      </w:r>
      <w:r>
        <w:rPr>
          <w:rFonts w:hint="eastAsia" w:ascii="宋体" w:hAnsi="宋体" w:eastAsia="宋体"/>
          <w:color w:val="auto"/>
          <w:kern w:val="0"/>
          <w:sz w:val="24"/>
          <w:highlight w:val="none"/>
          <w:lang w:val="en-US" w:eastAsia="zh-CN"/>
        </w:rPr>
        <w:t>。</w:t>
      </w:r>
    </w:p>
    <w:p w14:paraId="6FB3265B">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6.2 开标地点：</w:t>
      </w:r>
      <w:r>
        <w:rPr>
          <w:rFonts w:hint="eastAsia" w:ascii="宋体" w:hAnsi="宋体"/>
          <w:color w:val="auto"/>
          <w:kern w:val="0"/>
          <w:sz w:val="24"/>
          <w:highlight w:val="none"/>
          <w:u w:val="single"/>
          <w:lang w:val="en-US" w:eastAsia="zh-CN"/>
        </w:rPr>
        <w:t>安徽永昌工程咨询管理有限公司</w:t>
      </w:r>
      <w:r>
        <w:rPr>
          <w:rFonts w:hint="eastAsia" w:ascii="宋体" w:hAnsi="宋体" w:eastAsia="宋体"/>
          <w:color w:val="auto"/>
          <w:kern w:val="0"/>
          <w:sz w:val="24"/>
          <w:highlight w:val="none"/>
          <w:u w:val="single"/>
          <w:lang w:val="en-US" w:eastAsia="zh-CN"/>
        </w:rPr>
        <w:t>开标室</w:t>
      </w:r>
      <w:r>
        <w:rPr>
          <w:rFonts w:hint="eastAsia" w:ascii="宋体" w:hAnsi="宋体" w:eastAsia="宋体"/>
          <w:color w:val="auto"/>
          <w:kern w:val="0"/>
          <w:sz w:val="24"/>
          <w:highlight w:val="none"/>
          <w:lang w:val="en-US" w:eastAsia="zh-CN"/>
        </w:rPr>
        <w:t>。</w:t>
      </w:r>
    </w:p>
    <w:p w14:paraId="00D92F29">
      <w:pPr>
        <w:adjustRightInd w:val="0"/>
        <w:snapToGrid w:val="0"/>
        <w:spacing w:line="500" w:lineRule="exact"/>
        <w:ind w:firstLine="482" w:firstLineChars="200"/>
        <w:rPr>
          <w:rFonts w:hint="eastAsia" w:ascii="宋体" w:hAnsi="宋体" w:eastAsia="宋体"/>
          <w:b/>
          <w:color w:val="auto"/>
          <w:kern w:val="0"/>
          <w:sz w:val="24"/>
          <w:highlight w:val="none"/>
        </w:rPr>
      </w:pPr>
      <w:r>
        <w:rPr>
          <w:rFonts w:hint="eastAsia" w:ascii="宋体" w:hAnsi="宋体" w:eastAsia="宋体"/>
          <w:b/>
          <w:color w:val="auto"/>
          <w:kern w:val="0"/>
          <w:sz w:val="24"/>
          <w:highlight w:val="none"/>
          <w:lang w:val="en-US" w:eastAsia="zh-CN"/>
        </w:rPr>
        <w:t>7</w:t>
      </w:r>
      <w:r>
        <w:rPr>
          <w:rFonts w:hint="eastAsia" w:ascii="宋体" w:hAnsi="宋体" w:eastAsia="宋体"/>
          <w:b/>
          <w:color w:val="auto"/>
          <w:kern w:val="0"/>
          <w:sz w:val="24"/>
          <w:highlight w:val="none"/>
        </w:rPr>
        <w:t>、发布公告的媒介</w:t>
      </w:r>
    </w:p>
    <w:p w14:paraId="729B73DE">
      <w:pPr>
        <w:keepNext w:val="0"/>
        <w:keepLines w:val="0"/>
        <w:pageBreakBefore w:val="0"/>
        <w:kinsoku/>
        <w:wordWrap/>
        <w:overflowPunct/>
        <w:topLinePunct w:val="0"/>
        <w:autoSpaceDE/>
        <w:autoSpaceDN/>
        <w:bidi w:val="0"/>
        <w:adjustRightInd/>
        <w:snapToGrid/>
        <w:spacing w:line="460" w:lineRule="exact"/>
        <w:ind w:left="0" w:leftChars="0" w:firstLine="480" w:firstLineChars="200"/>
        <w:jc w:val="both"/>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本次招标公告在</w:t>
      </w:r>
      <w:r>
        <w:rPr>
          <w:rFonts w:hint="eastAsia" w:ascii="宋体" w:hAnsi="宋体" w:eastAsia="宋体" w:cs="Times New Roman"/>
          <w:color w:val="auto"/>
          <w:sz w:val="24"/>
          <w:szCs w:val="24"/>
          <w:highlight w:val="none"/>
          <w:u w:val="single"/>
          <w:lang w:val="en-US" w:eastAsia="zh-CN"/>
        </w:rPr>
        <w:t>安徽省招标投标信息网、</w:t>
      </w:r>
      <w:r>
        <w:rPr>
          <w:rFonts w:hint="eastAsia" w:ascii="宋体" w:hAnsi="宋体" w:cs="Times New Roman"/>
          <w:color w:val="auto"/>
          <w:sz w:val="24"/>
          <w:szCs w:val="24"/>
          <w:highlight w:val="none"/>
          <w:u w:val="single"/>
          <w:lang w:val="en-US" w:eastAsia="zh-CN"/>
        </w:rPr>
        <w:t>安徽永昌工程咨询管理有限公司</w:t>
      </w:r>
      <w:r>
        <w:rPr>
          <w:rFonts w:hint="eastAsia" w:ascii="宋体" w:hAnsi="宋体" w:eastAsia="宋体" w:cs="宋体"/>
          <w:color w:val="auto"/>
          <w:sz w:val="24"/>
          <w:highlight w:val="none"/>
          <w:lang w:val="en-US" w:eastAsia="zh-CN"/>
        </w:rPr>
        <w:t>网站发布。</w:t>
      </w:r>
    </w:p>
    <w:bookmarkEnd w:id="0"/>
    <w:bookmarkEnd w:id="1"/>
    <w:p w14:paraId="63F6BF1D">
      <w:pPr>
        <w:adjustRightInd w:val="0"/>
        <w:snapToGrid w:val="0"/>
        <w:spacing w:line="500" w:lineRule="exact"/>
        <w:ind w:firstLine="482" w:firstLineChars="200"/>
        <w:rPr>
          <w:rFonts w:hint="eastAsia" w:ascii="宋体" w:hAnsi="宋体" w:eastAsia="宋体"/>
          <w:b/>
          <w:color w:val="auto"/>
          <w:kern w:val="0"/>
          <w:sz w:val="24"/>
          <w:highlight w:val="none"/>
        </w:rPr>
      </w:pPr>
      <w:r>
        <w:rPr>
          <w:rFonts w:hint="eastAsia" w:ascii="宋体" w:hAnsi="宋体" w:eastAsia="宋体"/>
          <w:b/>
          <w:color w:val="auto"/>
          <w:kern w:val="0"/>
          <w:sz w:val="24"/>
          <w:highlight w:val="none"/>
          <w:lang w:val="en-US" w:eastAsia="zh-CN"/>
        </w:rPr>
        <w:t>8</w:t>
      </w:r>
      <w:r>
        <w:rPr>
          <w:rFonts w:hint="eastAsia" w:ascii="宋体" w:hAnsi="宋体" w:eastAsia="宋体"/>
          <w:b/>
          <w:color w:val="auto"/>
          <w:kern w:val="0"/>
          <w:sz w:val="24"/>
          <w:highlight w:val="none"/>
        </w:rPr>
        <w:t>、联系方式</w:t>
      </w:r>
    </w:p>
    <w:p w14:paraId="67B40ACA">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8.1招标人</w:t>
      </w:r>
    </w:p>
    <w:p w14:paraId="1F4DC76B">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招 标 人：</w:t>
      </w:r>
      <w:r>
        <w:rPr>
          <w:rFonts w:hint="eastAsia" w:ascii="宋体" w:hAnsi="宋体"/>
          <w:color w:val="auto"/>
          <w:kern w:val="0"/>
          <w:sz w:val="24"/>
          <w:highlight w:val="none"/>
          <w:u w:val="single"/>
          <w:lang w:val="en-US" w:eastAsia="zh-CN"/>
        </w:rPr>
        <w:t>铜陵江城置业有限公司</w:t>
      </w:r>
    </w:p>
    <w:p w14:paraId="6F4F4F42">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地    址：</w:t>
      </w:r>
      <w:r>
        <w:rPr>
          <w:rFonts w:hint="eastAsia" w:ascii="宋体" w:hAnsi="宋体" w:eastAsia="宋体"/>
          <w:color w:val="auto"/>
          <w:kern w:val="0"/>
          <w:sz w:val="24"/>
          <w:highlight w:val="none"/>
          <w:u w:val="single"/>
          <w:lang w:val="en-US" w:eastAsia="zh-CN"/>
        </w:rPr>
        <w:t>铜陵市铜官区北斗星城D2号楼8层</w:t>
      </w:r>
    </w:p>
    <w:p w14:paraId="75573A75">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邮    编：</w:t>
      </w:r>
      <w:r>
        <w:rPr>
          <w:rFonts w:hint="eastAsia" w:ascii="宋体" w:hAnsi="宋体" w:eastAsia="宋体"/>
          <w:color w:val="auto"/>
          <w:kern w:val="0"/>
          <w:sz w:val="24"/>
          <w:highlight w:val="none"/>
          <w:u w:val="single"/>
          <w:lang w:val="en-US" w:eastAsia="zh-CN"/>
        </w:rPr>
        <w:t>244000</w:t>
      </w:r>
    </w:p>
    <w:p w14:paraId="4536FA95">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联 系 人：</w:t>
      </w:r>
      <w:r>
        <w:rPr>
          <w:rFonts w:hint="eastAsia" w:ascii="宋体" w:hAnsi="宋体" w:eastAsia="宋体"/>
          <w:color w:val="auto"/>
          <w:kern w:val="0"/>
          <w:sz w:val="24"/>
          <w:highlight w:val="none"/>
          <w:u w:val="single"/>
          <w:lang w:val="en-US" w:eastAsia="zh-CN"/>
        </w:rPr>
        <w:t>谢工</w:t>
      </w:r>
    </w:p>
    <w:p w14:paraId="6A6F32A5">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电    话：</w:t>
      </w:r>
      <w:r>
        <w:rPr>
          <w:rFonts w:hint="eastAsia" w:ascii="宋体" w:hAnsi="宋体" w:eastAsia="宋体"/>
          <w:color w:val="auto"/>
          <w:kern w:val="0"/>
          <w:sz w:val="24"/>
          <w:highlight w:val="none"/>
          <w:u w:val="single"/>
          <w:lang w:val="en-US" w:eastAsia="zh-CN"/>
        </w:rPr>
        <w:t xml:space="preserve">0562-2686884 </w:t>
      </w:r>
      <w:r>
        <w:rPr>
          <w:rFonts w:hint="eastAsia" w:ascii="宋体" w:hAnsi="宋体" w:eastAsia="宋体"/>
          <w:color w:val="auto"/>
          <w:kern w:val="0"/>
          <w:sz w:val="24"/>
          <w:highlight w:val="none"/>
          <w:lang w:val="en-US" w:eastAsia="zh-CN"/>
        </w:rPr>
        <w:t xml:space="preserve">         </w:t>
      </w:r>
    </w:p>
    <w:p w14:paraId="5E18335B">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8.2  招标代理机构</w:t>
      </w:r>
    </w:p>
    <w:p w14:paraId="4FB147C4">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招标代理机构：</w:t>
      </w:r>
      <w:r>
        <w:rPr>
          <w:rFonts w:hint="eastAsia" w:ascii="宋体" w:hAnsi="宋体"/>
          <w:color w:val="auto"/>
          <w:kern w:val="0"/>
          <w:sz w:val="24"/>
          <w:highlight w:val="none"/>
          <w:u w:val="single"/>
          <w:lang w:val="en-US" w:eastAsia="zh-CN"/>
        </w:rPr>
        <w:t>安徽永昌工程咨询管理有限公司</w:t>
      </w:r>
    </w:p>
    <w:p w14:paraId="6A78EA65">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地    址：</w:t>
      </w:r>
      <w:r>
        <w:rPr>
          <w:rFonts w:hint="eastAsia" w:ascii="宋体" w:hAnsi="宋体" w:eastAsia="宋体"/>
          <w:color w:val="auto"/>
          <w:kern w:val="0"/>
          <w:sz w:val="24"/>
          <w:highlight w:val="none"/>
          <w:u w:val="single"/>
          <w:lang w:val="en-US" w:eastAsia="zh-CN"/>
        </w:rPr>
        <w:t>铜陵市铜官区北斗星城B7栋1202室</w:t>
      </w:r>
    </w:p>
    <w:p w14:paraId="7D69D587">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邮    编：</w:t>
      </w:r>
      <w:r>
        <w:rPr>
          <w:rFonts w:hint="eastAsia" w:ascii="宋体" w:hAnsi="宋体" w:eastAsia="宋体"/>
          <w:color w:val="auto"/>
          <w:kern w:val="0"/>
          <w:sz w:val="24"/>
          <w:highlight w:val="none"/>
          <w:u w:val="single"/>
          <w:lang w:val="en-US" w:eastAsia="zh-CN"/>
        </w:rPr>
        <w:t>244000</w:t>
      </w:r>
    </w:p>
    <w:p w14:paraId="0C8237ED">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联 系 人：</w:t>
      </w:r>
      <w:r>
        <w:rPr>
          <w:rFonts w:hint="eastAsia" w:ascii="宋体" w:hAnsi="宋体"/>
          <w:color w:val="auto"/>
          <w:kern w:val="0"/>
          <w:sz w:val="24"/>
          <w:highlight w:val="none"/>
          <w:u w:val="single"/>
          <w:lang w:val="en-US" w:eastAsia="zh-CN"/>
        </w:rPr>
        <w:t>肖</w:t>
      </w:r>
      <w:r>
        <w:rPr>
          <w:rFonts w:hint="eastAsia" w:ascii="宋体" w:hAnsi="宋体" w:eastAsia="宋体"/>
          <w:color w:val="auto"/>
          <w:kern w:val="0"/>
          <w:sz w:val="24"/>
          <w:highlight w:val="none"/>
          <w:u w:val="single"/>
          <w:lang w:val="en-US" w:eastAsia="zh-CN"/>
        </w:rPr>
        <w:t>工</w:t>
      </w:r>
    </w:p>
    <w:p w14:paraId="76827C74">
      <w:pPr>
        <w:adjustRightInd w:val="0"/>
        <w:snapToGrid w:val="0"/>
        <w:spacing w:line="500" w:lineRule="exact"/>
        <w:ind w:firstLine="480" w:firstLineChars="200"/>
        <w:rPr>
          <w:rFonts w:hint="default"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电    话：</w:t>
      </w:r>
      <w:r>
        <w:rPr>
          <w:rFonts w:hint="eastAsia" w:ascii="宋体" w:hAnsi="宋体" w:eastAsia="宋体"/>
          <w:color w:val="auto"/>
          <w:kern w:val="0"/>
          <w:sz w:val="24"/>
          <w:highlight w:val="none"/>
          <w:u w:val="single"/>
          <w:lang w:val="en-US" w:eastAsia="zh-CN"/>
        </w:rPr>
        <w:t>1</w:t>
      </w:r>
      <w:r>
        <w:rPr>
          <w:rFonts w:hint="eastAsia" w:ascii="宋体" w:hAnsi="宋体"/>
          <w:color w:val="auto"/>
          <w:kern w:val="0"/>
          <w:sz w:val="24"/>
          <w:highlight w:val="none"/>
          <w:u w:val="single"/>
          <w:lang w:val="en-US" w:eastAsia="zh-CN"/>
        </w:rPr>
        <w:t>3093330919</w:t>
      </w:r>
    </w:p>
    <w:p w14:paraId="1DE5277A">
      <w:pPr>
        <w:adjustRightInd w:val="0"/>
        <w:snapToGrid w:val="0"/>
        <w:spacing w:line="500" w:lineRule="exact"/>
        <w:ind w:firstLine="482" w:firstLineChars="200"/>
        <w:rPr>
          <w:rFonts w:hint="eastAsia" w:ascii="宋体" w:hAnsi="宋体" w:eastAsia="宋体"/>
          <w:b/>
          <w:color w:val="auto"/>
          <w:kern w:val="0"/>
          <w:sz w:val="24"/>
          <w:highlight w:val="none"/>
        </w:rPr>
      </w:pPr>
      <w:r>
        <w:rPr>
          <w:rFonts w:hint="eastAsia" w:ascii="宋体" w:hAnsi="宋体" w:eastAsia="宋体"/>
          <w:b/>
          <w:color w:val="auto"/>
          <w:kern w:val="0"/>
          <w:sz w:val="24"/>
          <w:highlight w:val="none"/>
          <w:lang w:val="en-US" w:eastAsia="zh-CN"/>
        </w:rPr>
        <w:t>9</w:t>
      </w:r>
      <w:r>
        <w:rPr>
          <w:rFonts w:hint="eastAsia" w:ascii="宋体" w:hAnsi="宋体" w:eastAsia="宋体"/>
          <w:b/>
          <w:color w:val="auto"/>
          <w:kern w:val="0"/>
          <w:sz w:val="24"/>
          <w:highlight w:val="none"/>
        </w:rPr>
        <w:t>、其他事项说明</w:t>
      </w:r>
    </w:p>
    <w:p w14:paraId="5F2D2EEA">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本项目投标保证金金额为</w:t>
      </w:r>
      <w:r>
        <w:rPr>
          <w:rFonts w:hint="eastAsia" w:ascii="宋体" w:hAnsi="宋体" w:eastAsia="宋体"/>
          <w:color w:val="auto"/>
          <w:kern w:val="0"/>
          <w:sz w:val="24"/>
          <w:highlight w:val="none"/>
          <w:u w:val="single"/>
          <w:lang w:val="en-US" w:eastAsia="zh-CN"/>
        </w:rPr>
        <w:t>0.</w:t>
      </w:r>
      <w:r>
        <w:rPr>
          <w:rFonts w:hint="eastAsia" w:ascii="宋体" w:hAnsi="宋体"/>
          <w:color w:val="auto"/>
          <w:kern w:val="0"/>
          <w:sz w:val="24"/>
          <w:highlight w:val="none"/>
          <w:u w:val="single"/>
          <w:lang w:val="en-US" w:eastAsia="zh-CN"/>
        </w:rPr>
        <w:t>3</w:t>
      </w:r>
      <w:r>
        <w:rPr>
          <w:rFonts w:hint="eastAsia" w:ascii="宋体" w:hAnsi="宋体" w:eastAsia="宋体"/>
          <w:color w:val="auto"/>
          <w:kern w:val="0"/>
          <w:sz w:val="24"/>
          <w:highlight w:val="none"/>
          <w:lang w:val="en-US" w:eastAsia="zh-CN"/>
        </w:rPr>
        <w:t>万元，可采用转账、保函、保证保险等方式缴纳（不拒绝接收保函），采用转账方式缴至以下账号：</w:t>
      </w:r>
    </w:p>
    <w:p w14:paraId="1A5184F0">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户名：</w:t>
      </w:r>
      <w:r>
        <w:rPr>
          <w:rFonts w:hint="eastAsia" w:ascii="宋体" w:hAnsi="宋体"/>
          <w:color w:val="auto"/>
          <w:kern w:val="0"/>
          <w:sz w:val="24"/>
          <w:highlight w:val="none"/>
          <w:lang w:val="en-US" w:eastAsia="zh-CN"/>
        </w:rPr>
        <w:t>安徽永昌工程咨询管理有限公司</w:t>
      </w:r>
    </w:p>
    <w:p w14:paraId="6CE3BD5F">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账号：11510078801300001613</w:t>
      </w:r>
    </w:p>
    <w:p w14:paraId="697A0E21">
      <w:pPr>
        <w:adjustRightInd w:val="0"/>
        <w:snapToGrid w:val="0"/>
        <w:spacing w:line="500" w:lineRule="exact"/>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开户银行：上海浦东发展银行铜陵支行</w:t>
      </w:r>
    </w:p>
    <w:p w14:paraId="4F4F18C8">
      <w:pPr>
        <w:jc w:val="center"/>
        <w:rPr>
          <w:rFonts w:ascii="宋体" w:hAnsi="宋体" w:cs="宋体"/>
          <w:b/>
          <w:color w:val="auto"/>
          <w:sz w:val="44"/>
          <w:szCs w:val="44"/>
          <w:highlight w:val="none"/>
        </w:rPr>
      </w:pPr>
    </w:p>
    <w:p w14:paraId="5104B01C">
      <w:pPr>
        <w:jc w:val="center"/>
        <w:rPr>
          <w:rFonts w:ascii="宋体" w:hAnsi="宋体" w:cs="宋体"/>
          <w:b/>
          <w:color w:val="auto"/>
          <w:sz w:val="44"/>
          <w:szCs w:val="44"/>
          <w:highlight w:val="none"/>
        </w:rPr>
      </w:pPr>
    </w:p>
    <w:p w14:paraId="3F1FD9FD">
      <w:pPr>
        <w:tabs>
          <w:tab w:val="left" w:pos="3261"/>
        </w:tabs>
        <w:jc w:val="left"/>
        <w:rPr>
          <w:color w:val="auto"/>
          <w:highlight w:val="none"/>
        </w:rPr>
      </w:pPr>
      <w:r>
        <w:rPr>
          <w:rFonts w:hint="eastAsia" w:ascii="宋体" w:hAnsi="宋体" w:cs="宋体"/>
          <w:b/>
          <w:color w:val="auto"/>
          <w:sz w:val="44"/>
          <w:szCs w:val="44"/>
          <w:highlight w:val="none"/>
          <w:lang w:eastAsia="zh-CN"/>
        </w:rPr>
        <w:tab/>
      </w:r>
    </w:p>
    <w:p w14:paraId="3C39B9DD">
      <w:pPr>
        <w:pStyle w:val="33"/>
        <w:rPr>
          <w:color w:val="auto"/>
          <w:highlight w:val="none"/>
        </w:rPr>
      </w:pPr>
    </w:p>
    <w:p w14:paraId="56643FDC">
      <w:pPr>
        <w:pStyle w:val="33"/>
        <w:rPr>
          <w:color w:val="auto"/>
          <w:highlight w:val="none"/>
        </w:rPr>
      </w:pPr>
    </w:p>
    <w:p w14:paraId="1BB5CE60">
      <w:pPr>
        <w:pStyle w:val="33"/>
        <w:rPr>
          <w:color w:val="auto"/>
          <w:highlight w:val="none"/>
        </w:rPr>
      </w:pPr>
      <w:bookmarkStart w:id="4" w:name="_GoBack"/>
      <w:bookmarkEnd w:id="4"/>
    </w:p>
    <w:p w14:paraId="33604913">
      <w:pPr>
        <w:pStyle w:val="36"/>
        <w:rPr>
          <w:color w:val="auto"/>
          <w:highlight w:val="none"/>
        </w:rPr>
      </w:pPr>
    </w:p>
    <w:p w14:paraId="5AFD6A17"/>
    <w:p w14:paraId="5C53367B">
      <w:pPr>
        <w:pStyle w:val="33"/>
        <w:rPr>
          <w:color w:val="auto"/>
          <w:highlight w:val="none"/>
        </w:rPr>
      </w:pPr>
    </w:p>
    <w:p w14:paraId="2CA7E7CA">
      <w:pPr>
        <w:pStyle w:val="33"/>
        <w:rPr>
          <w:color w:val="auto"/>
          <w:highlight w:val="none"/>
        </w:rPr>
      </w:pPr>
    </w:p>
    <w:p w14:paraId="6A9CF3C1">
      <w:pPr>
        <w:pStyle w:val="33"/>
        <w:rPr>
          <w:color w:val="auto"/>
          <w:highlight w:val="none"/>
        </w:rPr>
      </w:pPr>
    </w:p>
    <w:p w14:paraId="47E1A1B4">
      <w:pPr>
        <w:pStyle w:val="33"/>
        <w:rPr>
          <w:color w:val="auto"/>
          <w:highlight w:val="none"/>
        </w:rPr>
      </w:pPr>
    </w:p>
    <w:p w14:paraId="0B876C80">
      <w:pPr>
        <w:pStyle w:val="33"/>
        <w:ind w:left="0" w:leftChars="0" w:firstLine="0" w:firstLineChars="0"/>
        <w:rPr>
          <w:color w:val="auto"/>
          <w:highlight w:val="none"/>
        </w:rPr>
      </w:pPr>
    </w:p>
    <w:p w14:paraId="7B6BE197">
      <w:pPr>
        <w:jc w:val="center"/>
        <w:rPr>
          <w:rFonts w:ascii="宋体" w:hAnsi="宋体" w:cs="宋体"/>
          <w:b/>
          <w:color w:val="auto"/>
          <w:sz w:val="44"/>
          <w:szCs w:val="44"/>
          <w:highlight w:val="none"/>
        </w:rPr>
      </w:pPr>
      <w:r>
        <w:rPr>
          <w:rFonts w:hint="eastAsia" w:ascii="宋体" w:hAnsi="宋体" w:cs="宋体"/>
          <w:b/>
          <w:color w:val="auto"/>
          <w:sz w:val="44"/>
          <w:szCs w:val="44"/>
          <w:highlight w:val="none"/>
        </w:rPr>
        <w:t>目  录</w:t>
      </w:r>
    </w:p>
    <w:p w14:paraId="56BF1CBB">
      <w:pPr>
        <w:jc w:val="center"/>
        <w:rPr>
          <w:rFonts w:ascii="宋体" w:hAnsi="宋体" w:cs="宋体"/>
          <w:b/>
          <w:color w:val="auto"/>
          <w:sz w:val="30"/>
          <w:highlight w:val="none"/>
        </w:rPr>
      </w:pPr>
    </w:p>
    <w:p w14:paraId="700AB7CE">
      <w:pPr>
        <w:spacing w:line="480" w:lineRule="auto"/>
        <w:ind w:firstLine="900" w:firstLineChars="300"/>
        <w:rPr>
          <w:rFonts w:ascii="宋体" w:hAnsi="宋体" w:cs="宋体"/>
          <w:color w:val="auto"/>
          <w:sz w:val="30"/>
          <w:szCs w:val="30"/>
          <w:highlight w:val="none"/>
        </w:rPr>
      </w:pPr>
    </w:p>
    <w:p w14:paraId="640EA4BA">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一、投标须知前附表</w:t>
      </w:r>
    </w:p>
    <w:p w14:paraId="460793F1">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二、工程综合说明</w:t>
      </w:r>
    </w:p>
    <w:p w14:paraId="1245F6DA">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三、投标须知</w:t>
      </w:r>
    </w:p>
    <w:p w14:paraId="28987678">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四、建设工程委托监理合同</w:t>
      </w:r>
    </w:p>
    <w:p w14:paraId="21240272">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五、技术说明</w:t>
      </w:r>
    </w:p>
    <w:p w14:paraId="73607E45">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六、施工图纸及勘察资料</w:t>
      </w:r>
    </w:p>
    <w:p w14:paraId="65E292D3">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七、投标文件格式</w:t>
      </w:r>
    </w:p>
    <w:p w14:paraId="490D71D2">
      <w:pPr>
        <w:spacing w:line="480" w:lineRule="auto"/>
        <w:ind w:firstLine="600" w:firstLineChars="200"/>
        <w:jc w:val="left"/>
        <w:rPr>
          <w:rFonts w:ascii="宋体" w:hAnsi="宋体" w:cs="宋体"/>
          <w:color w:val="auto"/>
          <w:sz w:val="30"/>
          <w:szCs w:val="30"/>
          <w:highlight w:val="none"/>
        </w:rPr>
      </w:pPr>
      <w:r>
        <w:rPr>
          <w:rFonts w:hint="eastAsia" w:ascii="宋体" w:hAnsi="宋体" w:cs="宋体"/>
          <w:color w:val="auto"/>
          <w:sz w:val="30"/>
          <w:szCs w:val="30"/>
          <w:highlight w:val="none"/>
        </w:rPr>
        <w:t>八、评标办法和标准</w:t>
      </w:r>
    </w:p>
    <w:p w14:paraId="7BBBDE6F">
      <w:pPr>
        <w:rPr>
          <w:rFonts w:ascii="宋体" w:hAnsi="宋体" w:cs="宋体"/>
          <w:color w:val="auto"/>
          <w:highlight w:val="none"/>
        </w:rPr>
      </w:pPr>
    </w:p>
    <w:p w14:paraId="720FF4CA">
      <w:pPr>
        <w:spacing w:line="400" w:lineRule="exact"/>
        <w:jc w:val="center"/>
        <w:rPr>
          <w:rFonts w:ascii="宋体" w:hAnsi="宋体" w:cs="宋体"/>
          <w:b/>
          <w:color w:val="auto"/>
          <w:sz w:val="30"/>
          <w:highlight w:val="none"/>
        </w:rPr>
      </w:pPr>
      <w:r>
        <w:rPr>
          <w:rFonts w:hint="eastAsia" w:ascii="宋体" w:hAnsi="宋体" w:cs="宋体"/>
          <w:b/>
          <w:color w:val="auto"/>
          <w:sz w:val="30"/>
          <w:highlight w:val="none"/>
        </w:rPr>
        <w:br w:type="page"/>
      </w:r>
      <w:r>
        <w:rPr>
          <w:rFonts w:hint="eastAsia" w:ascii="宋体" w:hAnsi="宋体" w:cs="宋体"/>
          <w:b/>
          <w:color w:val="auto"/>
          <w:sz w:val="32"/>
          <w:szCs w:val="32"/>
          <w:highlight w:val="none"/>
        </w:rPr>
        <w:t>第一部分</w:t>
      </w:r>
      <w:r>
        <w:rPr>
          <w:rFonts w:hint="eastAsia" w:ascii="宋体" w:hAnsi="宋体" w:cs="宋体"/>
          <w:b/>
          <w:color w:val="auto"/>
          <w:sz w:val="30"/>
          <w:highlight w:val="none"/>
        </w:rPr>
        <w:t>、投标须知前附表</w:t>
      </w:r>
    </w:p>
    <w:p w14:paraId="7D3FCFE7">
      <w:pPr>
        <w:spacing w:line="400" w:lineRule="exact"/>
        <w:jc w:val="center"/>
        <w:rPr>
          <w:rFonts w:ascii="宋体" w:hAnsi="宋体" w:cs="宋体"/>
          <w:b/>
          <w:color w:val="auto"/>
          <w:sz w:val="30"/>
          <w:highlight w:val="none"/>
        </w:rPr>
      </w:pPr>
    </w:p>
    <w:tbl>
      <w:tblPr>
        <w:tblStyle w:val="25"/>
        <w:tblW w:w="9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032"/>
        <w:gridCol w:w="7212"/>
      </w:tblGrid>
      <w:tr w14:paraId="2638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top w:val="single" w:color="auto" w:sz="12" w:space="0"/>
              <w:left w:val="single" w:color="auto" w:sz="12" w:space="0"/>
              <w:bottom w:val="single" w:color="auto" w:sz="12" w:space="0"/>
            </w:tcBorders>
            <w:vAlign w:val="center"/>
          </w:tcPr>
          <w:p w14:paraId="4DEF57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序号</w:t>
            </w:r>
          </w:p>
        </w:tc>
        <w:tc>
          <w:tcPr>
            <w:tcW w:w="2032" w:type="dxa"/>
            <w:tcBorders>
              <w:top w:val="single" w:color="auto" w:sz="12" w:space="0"/>
              <w:bottom w:val="single" w:color="auto" w:sz="12" w:space="0"/>
            </w:tcBorders>
            <w:vAlign w:val="center"/>
          </w:tcPr>
          <w:p w14:paraId="4E269F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项      目</w:t>
            </w:r>
          </w:p>
        </w:tc>
        <w:tc>
          <w:tcPr>
            <w:tcW w:w="7212" w:type="dxa"/>
            <w:tcBorders>
              <w:top w:val="single" w:color="auto" w:sz="12" w:space="0"/>
              <w:bottom w:val="single" w:color="auto" w:sz="12" w:space="0"/>
              <w:right w:val="single" w:color="auto" w:sz="12" w:space="0"/>
            </w:tcBorders>
            <w:vAlign w:val="center"/>
          </w:tcPr>
          <w:p w14:paraId="42ED89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内                容</w:t>
            </w:r>
          </w:p>
        </w:tc>
      </w:tr>
      <w:tr w14:paraId="5F27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top w:val="single" w:color="auto" w:sz="12" w:space="0"/>
              <w:left w:val="single" w:color="auto" w:sz="12" w:space="0"/>
            </w:tcBorders>
            <w:vAlign w:val="center"/>
          </w:tcPr>
          <w:p w14:paraId="64DD87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w:t>
            </w:r>
          </w:p>
        </w:tc>
        <w:tc>
          <w:tcPr>
            <w:tcW w:w="2032" w:type="dxa"/>
            <w:tcBorders>
              <w:top w:val="single" w:color="auto" w:sz="12" w:space="0"/>
            </w:tcBorders>
            <w:vAlign w:val="center"/>
          </w:tcPr>
          <w:p w14:paraId="314C9E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工程名称</w:t>
            </w:r>
          </w:p>
        </w:tc>
        <w:tc>
          <w:tcPr>
            <w:tcW w:w="7212" w:type="dxa"/>
            <w:tcBorders>
              <w:top w:val="single" w:color="auto" w:sz="12" w:space="0"/>
              <w:right w:val="single" w:color="auto" w:sz="12" w:space="0"/>
            </w:tcBorders>
            <w:vAlign w:val="center"/>
          </w:tcPr>
          <w:p w14:paraId="39790B33">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sz w:val="24"/>
                <w:szCs w:val="24"/>
                <w:highlight w:val="none"/>
              </w:rPr>
            </w:pPr>
            <w:r>
              <w:rPr>
                <w:rFonts w:hint="eastAsia" w:ascii="宋体" w:hAnsi="宋体"/>
                <w:color w:val="auto"/>
                <w:sz w:val="24"/>
                <w:szCs w:val="24"/>
                <w:highlight w:val="none"/>
                <w:lang w:eastAsia="zh-CN"/>
              </w:rPr>
              <w:t>铜官区露采商业综合楼改造提升工程（</w:t>
            </w:r>
            <w:r>
              <w:rPr>
                <w:rFonts w:hint="eastAsia" w:ascii="宋体" w:hAnsi="宋体"/>
                <w:color w:val="auto"/>
                <w:sz w:val="24"/>
                <w:szCs w:val="24"/>
                <w:highlight w:val="none"/>
                <w:lang w:val="en-US" w:eastAsia="zh-CN"/>
              </w:rPr>
              <w:t>改造提升、智能化</w:t>
            </w:r>
            <w:r>
              <w:rPr>
                <w:rFonts w:hint="eastAsia" w:ascii="宋体" w:hAnsi="宋体"/>
                <w:color w:val="auto"/>
                <w:sz w:val="24"/>
                <w:szCs w:val="24"/>
                <w:highlight w:val="none"/>
                <w:lang w:eastAsia="zh-CN"/>
              </w:rPr>
              <w:t>）监理服务</w:t>
            </w:r>
          </w:p>
        </w:tc>
      </w:tr>
      <w:tr w14:paraId="393F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581C17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2</w:t>
            </w:r>
          </w:p>
        </w:tc>
        <w:tc>
          <w:tcPr>
            <w:tcW w:w="2032" w:type="dxa"/>
            <w:vAlign w:val="center"/>
          </w:tcPr>
          <w:p w14:paraId="72ED73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建设资金来源</w:t>
            </w:r>
          </w:p>
        </w:tc>
        <w:tc>
          <w:tcPr>
            <w:tcW w:w="7212" w:type="dxa"/>
            <w:tcBorders>
              <w:right w:val="single" w:color="auto" w:sz="12" w:space="0"/>
            </w:tcBorders>
            <w:vAlign w:val="center"/>
          </w:tcPr>
          <w:p w14:paraId="1CE3596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lang w:eastAsia="zh-CN"/>
              </w:rPr>
            </w:pPr>
            <w:r>
              <w:rPr>
                <w:rFonts w:hint="eastAsia" w:ascii="宋体" w:hAnsi="宋体"/>
                <w:color w:val="auto"/>
                <w:sz w:val="24"/>
                <w:szCs w:val="24"/>
                <w:highlight w:val="none"/>
              </w:rPr>
              <w:t>详见“招标公告”</w:t>
            </w:r>
          </w:p>
        </w:tc>
      </w:tr>
      <w:tr w14:paraId="234E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0D9A7E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3</w:t>
            </w:r>
          </w:p>
        </w:tc>
        <w:tc>
          <w:tcPr>
            <w:tcW w:w="2032" w:type="dxa"/>
            <w:vAlign w:val="center"/>
          </w:tcPr>
          <w:p w14:paraId="705A47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投标资格要求</w:t>
            </w:r>
          </w:p>
        </w:tc>
        <w:tc>
          <w:tcPr>
            <w:tcW w:w="7212" w:type="dxa"/>
            <w:tcBorders>
              <w:right w:val="single" w:color="auto" w:sz="12" w:space="0"/>
            </w:tcBorders>
            <w:vAlign w:val="center"/>
          </w:tcPr>
          <w:p w14:paraId="4E26D3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sz w:val="24"/>
                <w:highlight w:val="none"/>
              </w:rPr>
            </w:pPr>
            <w:r>
              <w:rPr>
                <w:rFonts w:hint="eastAsia" w:ascii="宋体" w:hAnsi="宋体"/>
                <w:color w:val="auto"/>
                <w:sz w:val="24"/>
                <w:szCs w:val="24"/>
                <w:highlight w:val="none"/>
              </w:rPr>
              <w:t>详见“招标公告”</w:t>
            </w:r>
          </w:p>
        </w:tc>
      </w:tr>
      <w:tr w14:paraId="23B6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tcPr>
          <w:p w14:paraId="7D64B7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4</w:t>
            </w:r>
          </w:p>
        </w:tc>
        <w:tc>
          <w:tcPr>
            <w:tcW w:w="2032" w:type="dxa"/>
            <w:vAlign w:val="center"/>
          </w:tcPr>
          <w:p w14:paraId="07A4AC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监理业绩要求</w:t>
            </w:r>
          </w:p>
        </w:tc>
        <w:tc>
          <w:tcPr>
            <w:tcW w:w="7212" w:type="dxa"/>
            <w:tcBorders>
              <w:right w:val="single" w:color="auto" w:sz="12" w:space="0"/>
            </w:tcBorders>
            <w:vAlign w:val="center"/>
          </w:tcPr>
          <w:p w14:paraId="041598F4">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sz w:val="24"/>
                <w:szCs w:val="24"/>
                <w:highlight w:val="none"/>
              </w:rPr>
            </w:pPr>
            <w:r>
              <w:rPr>
                <w:rFonts w:hint="eastAsia" w:ascii="宋体" w:hAnsi="宋体"/>
                <w:color w:val="auto"/>
                <w:sz w:val="24"/>
                <w:szCs w:val="24"/>
                <w:highlight w:val="none"/>
              </w:rPr>
              <w:t>详见“招标公告”</w:t>
            </w:r>
          </w:p>
        </w:tc>
      </w:tr>
      <w:tr w14:paraId="26B4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60FFF2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5</w:t>
            </w:r>
          </w:p>
        </w:tc>
        <w:tc>
          <w:tcPr>
            <w:tcW w:w="2032" w:type="dxa"/>
            <w:vAlign w:val="center"/>
          </w:tcPr>
          <w:p w14:paraId="1A132C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监理服务期</w:t>
            </w:r>
          </w:p>
        </w:tc>
        <w:tc>
          <w:tcPr>
            <w:tcW w:w="7212" w:type="dxa"/>
            <w:tcBorders>
              <w:right w:val="single" w:color="auto" w:sz="12" w:space="0"/>
            </w:tcBorders>
            <w:vAlign w:val="center"/>
          </w:tcPr>
          <w:p w14:paraId="60D980A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highlight w:val="none"/>
              </w:rPr>
            </w:pPr>
            <w:r>
              <w:rPr>
                <w:rFonts w:hint="eastAsia" w:ascii="宋体" w:hAnsi="宋体"/>
                <w:color w:val="auto"/>
                <w:sz w:val="24"/>
                <w:szCs w:val="24"/>
                <w:highlight w:val="none"/>
              </w:rPr>
              <w:t>详见“招标公告”</w:t>
            </w:r>
          </w:p>
        </w:tc>
      </w:tr>
      <w:tr w14:paraId="7952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029A61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6</w:t>
            </w:r>
          </w:p>
        </w:tc>
        <w:tc>
          <w:tcPr>
            <w:tcW w:w="2032" w:type="dxa"/>
            <w:vAlign w:val="center"/>
          </w:tcPr>
          <w:p w14:paraId="7078B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投标文件</w:t>
            </w:r>
          </w:p>
        </w:tc>
        <w:tc>
          <w:tcPr>
            <w:tcW w:w="7212" w:type="dxa"/>
            <w:tcBorders>
              <w:right w:val="single" w:color="auto" w:sz="12" w:space="0"/>
            </w:tcBorders>
            <w:vAlign w:val="center"/>
          </w:tcPr>
          <w:p w14:paraId="3FD96FB9">
            <w:pPr>
              <w:snapToGrid w:val="0"/>
              <w:rPr>
                <w:rFonts w:hint="eastAsia" w:ascii="宋体" w:hAnsi="宋体"/>
                <w:b/>
                <w:bCs/>
                <w:color w:val="auto"/>
                <w:sz w:val="24"/>
                <w:szCs w:val="24"/>
                <w:highlight w:val="none"/>
              </w:rPr>
            </w:pPr>
            <w:r>
              <w:rPr>
                <w:rFonts w:hint="eastAsia" w:ascii="宋体" w:hAnsi="宋体" w:eastAsia="宋体" w:cs="Times New Roman"/>
                <w:b/>
                <w:bCs/>
                <w:color w:val="auto"/>
                <w:sz w:val="24"/>
                <w:szCs w:val="24"/>
                <w:highlight w:val="none"/>
                <w:lang w:eastAsia="zh-CN"/>
              </w:rPr>
              <w:t>投标时提供</w:t>
            </w:r>
            <w:r>
              <w:rPr>
                <w:rFonts w:hint="eastAsia" w:ascii="宋体" w:hAnsi="宋体"/>
                <w:b/>
                <w:color w:val="auto"/>
                <w:sz w:val="24"/>
                <w:szCs w:val="24"/>
                <w:highlight w:val="none"/>
              </w:rPr>
              <w:t>1</w:t>
            </w:r>
            <w:r>
              <w:rPr>
                <w:rFonts w:hint="eastAsia" w:ascii="宋体" w:hAnsi="宋体"/>
                <w:b/>
                <w:color w:val="auto"/>
                <w:sz w:val="24"/>
                <w:szCs w:val="24"/>
                <w:highlight w:val="none"/>
                <w:lang w:val="en-US" w:eastAsia="zh-CN"/>
              </w:rPr>
              <w:t>份</w:t>
            </w:r>
            <w:r>
              <w:rPr>
                <w:rFonts w:hint="eastAsia" w:ascii="宋体" w:hAnsi="宋体"/>
                <w:b/>
                <w:color w:val="auto"/>
                <w:sz w:val="24"/>
                <w:szCs w:val="24"/>
                <w:highlight w:val="none"/>
              </w:rPr>
              <w:t>正本</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1</w:t>
            </w:r>
            <w:r>
              <w:rPr>
                <w:rFonts w:hint="eastAsia" w:ascii="宋体" w:hAnsi="宋体"/>
                <w:b/>
                <w:bCs/>
                <w:color w:val="auto"/>
                <w:sz w:val="24"/>
                <w:szCs w:val="24"/>
                <w:highlight w:val="none"/>
              </w:rPr>
              <w:t>份</w:t>
            </w:r>
            <w:r>
              <w:rPr>
                <w:rFonts w:hint="eastAsia" w:ascii="宋体" w:hAnsi="宋体"/>
                <w:b/>
                <w:bCs/>
                <w:color w:val="auto"/>
                <w:sz w:val="24"/>
                <w:szCs w:val="24"/>
                <w:highlight w:val="none"/>
                <w:lang w:val="en-US" w:eastAsia="zh-CN"/>
              </w:rPr>
              <w:t>副本及</w:t>
            </w:r>
            <w:r>
              <w:rPr>
                <w:rFonts w:hint="eastAsia" w:ascii="宋体" w:hAnsi="宋体"/>
                <w:b/>
                <w:bCs/>
                <w:color w:val="auto"/>
                <w:sz w:val="24"/>
                <w:szCs w:val="24"/>
                <w:highlight w:val="none"/>
              </w:rPr>
              <w:t>完整版本的加盖公章（或电子章）PDF版本电子标书，内容同纸质标书（U盘单独封装）</w:t>
            </w:r>
            <w:r>
              <w:rPr>
                <w:rFonts w:hint="eastAsia" w:ascii="宋体" w:hAnsi="宋体"/>
                <w:b/>
                <w:bCs/>
                <w:color w:val="auto"/>
                <w:sz w:val="24"/>
                <w:szCs w:val="24"/>
                <w:highlight w:val="none"/>
                <w:lang w:eastAsia="zh-CN"/>
              </w:rPr>
              <w:t>。</w:t>
            </w:r>
          </w:p>
          <w:p w14:paraId="48604F32">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highlight w:val="none"/>
              </w:rPr>
            </w:pPr>
            <w:r>
              <w:rPr>
                <w:rFonts w:hint="eastAsia" w:ascii="宋体" w:hAnsi="宋体"/>
                <w:color w:val="auto"/>
                <w:sz w:val="24"/>
                <w:szCs w:val="24"/>
                <w:highlight w:val="none"/>
              </w:rPr>
              <w:t>仅中标单位在领取中标通知书时需提供</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2</w:t>
            </w:r>
            <w:r>
              <w:rPr>
                <w:rFonts w:hint="eastAsia" w:ascii="宋体" w:hAnsi="宋体"/>
                <w:color w:val="auto"/>
                <w:sz w:val="24"/>
                <w:szCs w:val="24"/>
                <w:highlight w:val="none"/>
              </w:rPr>
              <w:t>份副本纸质投标文件。</w:t>
            </w:r>
          </w:p>
        </w:tc>
      </w:tr>
      <w:tr w14:paraId="4299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top w:val="single" w:color="auto" w:sz="8" w:space="0"/>
              <w:left w:val="single" w:color="auto" w:sz="12" w:space="0"/>
            </w:tcBorders>
            <w:vAlign w:val="center"/>
          </w:tcPr>
          <w:p w14:paraId="5E99DF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7</w:t>
            </w:r>
          </w:p>
        </w:tc>
        <w:tc>
          <w:tcPr>
            <w:tcW w:w="2032" w:type="dxa"/>
            <w:tcBorders>
              <w:top w:val="single" w:color="auto" w:sz="8" w:space="0"/>
            </w:tcBorders>
            <w:vAlign w:val="center"/>
          </w:tcPr>
          <w:p w14:paraId="03F773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投标保证金</w:t>
            </w:r>
          </w:p>
        </w:tc>
        <w:tc>
          <w:tcPr>
            <w:tcW w:w="7212" w:type="dxa"/>
            <w:tcBorders>
              <w:top w:val="single" w:color="auto" w:sz="8" w:space="0"/>
              <w:right w:val="single" w:color="auto" w:sz="12" w:space="0"/>
            </w:tcBorders>
            <w:vAlign w:val="center"/>
          </w:tcPr>
          <w:p w14:paraId="3E6F26E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s="宋体"/>
                <w:b/>
                <w:bCs/>
                <w:color w:val="auto"/>
                <w:sz w:val="24"/>
                <w:highlight w:val="none"/>
              </w:rPr>
            </w:pPr>
            <w:r>
              <w:rPr>
                <w:rFonts w:hint="eastAsia" w:ascii="宋体" w:hAnsi="宋体"/>
                <w:color w:val="auto"/>
                <w:sz w:val="24"/>
                <w:szCs w:val="24"/>
                <w:highlight w:val="none"/>
              </w:rPr>
              <w:t>详见“招标公告”</w:t>
            </w:r>
          </w:p>
        </w:tc>
      </w:tr>
      <w:tr w14:paraId="4DB9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jc w:val="center"/>
        </w:trPr>
        <w:tc>
          <w:tcPr>
            <w:tcW w:w="755" w:type="dxa"/>
            <w:tcBorders>
              <w:left w:val="single" w:color="auto" w:sz="12" w:space="0"/>
            </w:tcBorders>
            <w:vAlign w:val="center"/>
          </w:tcPr>
          <w:p w14:paraId="50D690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8</w:t>
            </w:r>
          </w:p>
        </w:tc>
        <w:tc>
          <w:tcPr>
            <w:tcW w:w="2032" w:type="dxa"/>
            <w:vAlign w:val="center"/>
          </w:tcPr>
          <w:p w14:paraId="0299ED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履约保证金</w:t>
            </w:r>
          </w:p>
        </w:tc>
        <w:tc>
          <w:tcPr>
            <w:tcW w:w="7212" w:type="dxa"/>
            <w:tcBorders>
              <w:right w:val="single" w:color="auto" w:sz="12" w:space="0"/>
            </w:tcBorders>
            <w:vAlign w:val="center"/>
          </w:tcPr>
          <w:p w14:paraId="05CE59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Style w:val="64"/>
                <w:rFonts w:hint="eastAsia" w:ascii="宋体" w:hAnsi="宋体" w:eastAsia="宋体" w:cs="宋体"/>
                <w:bCs/>
                <w:color w:val="auto"/>
                <w:szCs w:val="21"/>
                <w:highlight w:val="none"/>
              </w:rPr>
              <w:t>中标人提供的履约保证金为合同价款的2%。履约保证金形式可以为转账、保函、保证保险中的任意一种。</w:t>
            </w:r>
          </w:p>
        </w:tc>
      </w:tr>
      <w:tr w14:paraId="3D67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tcPr>
          <w:p w14:paraId="331E8C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9</w:t>
            </w:r>
          </w:p>
        </w:tc>
        <w:tc>
          <w:tcPr>
            <w:tcW w:w="2032" w:type="dxa"/>
          </w:tcPr>
          <w:p w14:paraId="47AB06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投标有效期</w:t>
            </w:r>
          </w:p>
        </w:tc>
        <w:tc>
          <w:tcPr>
            <w:tcW w:w="7212" w:type="dxa"/>
            <w:tcBorders>
              <w:right w:val="single" w:color="auto" w:sz="12" w:space="0"/>
            </w:tcBorders>
            <w:vAlign w:val="center"/>
          </w:tcPr>
          <w:p w14:paraId="60C74B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投标书递交后90天内有效</w:t>
            </w:r>
          </w:p>
        </w:tc>
      </w:tr>
      <w:tr w14:paraId="36E5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11740F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10</w:t>
            </w:r>
          </w:p>
        </w:tc>
        <w:tc>
          <w:tcPr>
            <w:tcW w:w="2032" w:type="dxa"/>
            <w:vAlign w:val="center"/>
          </w:tcPr>
          <w:p w14:paraId="347A8F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投标文件提交地点及截止时间</w:t>
            </w:r>
          </w:p>
        </w:tc>
        <w:tc>
          <w:tcPr>
            <w:tcW w:w="7212" w:type="dxa"/>
            <w:tcBorders>
              <w:right w:val="single" w:color="auto" w:sz="12" w:space="0"/>
            </w:tcBorders>
            <w:vAlign w:val="center"/>
          </w:tcPr>
          <w:p w14:paraId="4951E3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详见“招标公告”</w:t>
            </w:r>
          </w:p>
        </w:tc>
      </w:tr>
      <w:tr w14:paraId="1DD7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tcPr>
          <w:p w14:paraId="0A93F4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11</w:t>
            </w:r>
          </w:p>
        </w:tc>
        <w:tc>
          <w:tcPr>
            <w:tcW w:w="2032" w:type="dxa"/>
            <w:vAlign w:val="center"/>
          </w:tcPr>
          <w:p w14:paraId="474DDA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开标地点及时间</w:t>
            </w:r>
          </w:p>
        </w:tc>
        <w:tc>
          <w:tcPr>
            <w:tcW w:w="7212" w:type="dxa"/>
            <w:tcBorders>
              <w:right w:val="single" w:color="auto" w:sz="12" w:space="0"/>
            </w:tcBorders>
            <w:vAlign w:val="center"/>
          </w:tcPr>
          <w:p w14:paraId="640B324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详见“招标公告”</w:t>
            </w:r>
          </w:p>
        </w:tc>
      </w:tr>
      <w:tr w14:paraId="7F3A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28384B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12</w:t>
            </w:r>
          </w:p>
        </w:tc>
        <w:tc>
          <w:tcPr>
            <w:tcW w:w="2032" w:type="dxa"/>
            <w:vAlign w:val="center"/>
          </w:tcPr>
          <w:p w14:paraId="46CAE3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评标办法</w:t>
            </w:r>
          </w:p>
        </w:tc>
        <w:tc>
          <w:tcPr>
            <w:tcW w:w="7212" w:type="dxa"/>
            <w:tcBorders>
              <w:right w:val="single" w:color="auto" w:sz="12" w:space="0"/>
            </w:tcBorders>
            <w:vAlign w:val="center"/>
          </w:tcPr>
          <w:p w14:paraId="6D1101A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b/>
                <w:bCs/>
                <w:color w:val="auto"/>
                <w:sz w:val="24"/>
                <w:szCs w:val="24"/>
                <w:highlight w:val="none"/>
              </w:rPr>
              <w:t>综合评估法</w:t>
            </w:r>
          </w:p>
        </w:tc>
      </w:tr>
      <w:tr w14:paraId="0D4D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2EEB4E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13</w:t>
            </w:r>
          </w:p>
        </w:tc>
        <w:tc>
          <w:tcPr>
            <w:tcW w:w="2032" w:type="dxa"/>
            <w:vAlign w:val="center"/>
          </w:tcPr>
          <w:p w14:paraId="4998E2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资格审查</w:t>
            </w:r>
          </w:p>
        </w:tc>
        <w:tc>
          <w:tcPr>
            <w:tcW w:w="7212" w:type="dxa"/>
            <w:tcBorders>
              <w:right w:val="single" w:color="auto" w:sz="12" w:space="0"/>
            </w:tcBorders>
            <w:vAlign w:val="center"/>
          </w:tcPr>
          <w:p w14:paraId="00FE1F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采取</w:t>
            </w:r>
            <w:r>
              <w:rPr>
                <w:rFonts w:hint="eastAsia" w:ascii="宋体" w:hAnsi="宋体"/>
                <w:b/>
                <w:bCs/>
                <w:color w:val="auto"/>
                <w:sz w:val="24"/>
                <w:szCs w:val="24"/>
                <w:highlight w:val="none"/>
              </w:rPr>
              <w:t>资格后审</w:t>
            </w:r>
            <w:r>
              <w:rPr>
                <w:rFonts w:hint="eastAsia" w:ascii="宋体" w:hAnsi="宋体"/>
                <w:color w:val="auto"/>
                <w:sz w:val="24"/>
                <w:szCs w:val="24"/>
                <w:highlight w:val="none"/>
              </w:rPr>
              <w:t>方式进行</w:t>
            </w:r>
          </w:p>
        </w:tc>
      </w:tr>
      <w:tr w14:paraId="2997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132A0E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14</w:t>
            </w:r>
          </w:p>
        </w:tc>
        <w:tc>
          <w:tcPr>
            <w:tcW w:w="2032" w:type="dxa"/>
            <w:vAlign w:val="center"/>
          </w:tcPr>
          <w:p w14:paraId="619C6A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付款方式</w:t>
            </w:r>
          </w:p>
        </w:tc>
        <w:tc>
          <w:tcPr>
            <w:tcW w:w="7212" w:type="dxa"/>
            <w:tcBorders>
              <w:right w:val="single" w:color="auto" w:sz="12" w:space="0"/>
            </w:tcBorders>
            <w:vAlign w:val="center"/>
          </w:tcPr>
          <w:p w14:paraId="6DAA59A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监理费支付：①中标监理费不作为支付监理费及结算依据，实际监理费按费率计算，即中标监理费率=中标监理单位投标价/</w:t>
            </w:r>
            <w:r>
              <w:rPr>
                <w:rFonts w:hint="eastAsia" w:ascii="宋体" w:hAnsi="宋体" w:cs="Times New Roman"/>
                <w:b/>
                <w:bCs/>
                <w:color w:val="auto"/>
                <w:sz w:val="24"/>
                <w:szCs w:val="24"/>
                <w:highlight w:val="none"/>
                <w:lang w:val="en-US" w:eastAsia="zh-CN"/>
              </w:rPr>
              <w:t>1675.48</w:t>
            </w:r>
            <w:r>
              <w:rPr>
                <w:rFonts w:hint="eastAsia" w:ascii="宋体" w:hAnsi="宋体" w:eastAsia="宋体" w:cs="Times New Roman"/>
                <w:b/>
                <w:bCs/>
                <w:color w:val="auto"/>
                <w:sz w:val="24"/>
                <w:szCs w:val="24"/>
                <w:highlight w:val="none"/>
                <w:lang w:val="en-US" w:eastAsia="zh-CN"/>
              </w:rPr>
              <w:t>万元</w:t>
            </w:r>
            <w:r>
              <w:rPr>
                <w:rFonts w:hint="eastAsia" w:ascii="宋体" w:hAnsi="宋体" w:cs="Times New Roman"/>
                <w:b/>
                <w:bCs/>
                <w:color w:val="auto"/>
                <w:sz w:val="24"/>
                <w:szCs w:val="24"/>
                <w:highlight w:val="none"/>
                <w:lang w:val="en-US" w:eastAsia="zh-CN"/>
              </w:rPr>
              <w:t>（预估</w:t>
            </w:r>
            <w:r>
              <w:rPr>
                <w:rFonts w:hint="eastAsia" w:ascii="宋体" w:hAnsi="宋体" w:eastAsia="宋体" w:cs="Times New Roman"/>
                <w:b/>
                <w:bCs/>
                <w:color w:val="auto"/>
                <w:sz w:val="24"/>
                <w:szCs w:val="24"/>
                <w:highlight w:val="none"/>
                <w:lang w:val="en-US" w:eastAsia="zh-CN"/>
              </w:rPr>
              <w:t>建安工程费</w:t>
            </w:r>
            <w:r>
              <w:rPr>
                <w:rFonts w:hint="eastAsia" w:ascii="宋体" w:hAnsi="宋体" w:cs="Times New Roman"/>
                <w:b/>
                <w:bCs/>
                <w:color w:val="auto"/>
                <w:sz w:val="24"/>
                <w:szCs w:val="24"/>
                <w:highlight w:val="none"/>
                <w:lang w:val="en-US" w:eastAsia="zh-CN"/>
              </w:rPr>
              <w:t>投资）</w:t>
            </w:r>
            <w:r>
              <w:rPr>
                <w:rFonts w:hint="eastAsia" w:ascii="宋体" w:hAnsi="宋体" w:eastAsia="宋体" w:cs="Times New Roman"/>
                <w:b/>
                <w:bCs/>
                <w:color w:val="auto"/>
                <w:sz w:val="24"/>
                <w:szCs w:val="24"/>
                <w:highlight w:val="none"/>
                <w:lang w:val="en-US" w:eastAsia="zh-CN"/>
              </w:rPr>
              <w:t>×100%</w:t>
            </w:r>
            <w:r>
              <w:rPr>
                <w:rFonts w:hint="eastAsia" w:ascii="宋体" w:hAnsi="宋体" w:cs="Times New Roman"/>
                <w:b/>
                <w:bCs/>
                <w:color w:val="auto"/>
                <w:sz w:val="24"/>
                <w:szCs w:val="24"/>
                <w:highlight w:val="none"/>
                <w:lang w:val="en-US" w:eastAsia="zh-CN"/>
              </w:rPr>
              <w:t>；</w:t>
            </w:r>
          </w:p>
          <w:p w14:paraId="5400511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②合同监理费总额仅作为发包人向监理单位支付监理费进度款的参考依据，不作为最终监理费结算依据</w:t>
            </w:r>
            <w:r>
              <w:rPr>
                <w:rFonts w:hint="eastAsia" w:ascii="宋体" w:hAnsi="宋体" w:cs="Times New Roman"/>
                <w:b/>
                <w:bCs/>
                <w:color w:val="auto"/>
                <w:sz w:val="24"/>
                <w:szCs w:val="24"/>
                <w:highlight w:val="none"/>
                <w:lang w:val="en-US" w:eastAsia="zh-CN"/>
              </w:rPr>
              <w:t>；</w:t>
            </w:r>
            <w:r>
              <w:rPr>
                <w:rFonts w:hint="eastAsia" w:ascii="宋体" w:hAnsi="宋体" w:eastAsia="宋体" w:cs="Times New Roman"/>
                <w:b/>
                <w:bCs/>
                <w:color w:val="auto"/>
                <w:sz w:val="24"/>
                <w:szCs w:val="24"/>
                <w:highlight w:val="none"/>
                <w:lang w:val="en-US" w:eastAsia="zh-CN"/>
              </w:rPr>
              <w:t>最终结算监理费为中标监理费率×最终工程结算价。</w:t>
            </w:r>
          </w:p>
          <w:p w14:paraId="2874C09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③每月按实际完成合格工程量造价×中标监理费率×85%支付</w:t>
            </w:r>
            <w:r>
              <w:rPr>
                <w:rFonts w:hint="eastAsia" w:ascii="宋体" w:hAnsi="宋体" w:cs="Times New Roman"/>
                <w:b/>
                <w:bCs/>
                <w:color w:val="auto"/>
                <w:sz w:val="24"/>
                <w:szCs w:val="24"/>
                <w:highlight w:val="none"/>
                <w:lang w:val="en-US" w:eastAsia="zh-CN"/>
              </w:rPr>
              <w:t>；</w:t>
            </w:r>
            <w:r>
              <w:rPr>
                <w:rFonts w:hint="eastAsia" w:ascii="宋体" w:hAnsi="宋体" w:eastAsia="宋体" w:cs="Times New Roman"/>
                <w:b/>
                <w:bCs/>
                <w:color w:val="auto"/>
                <w:sz w:val="24"/>
                <w:szCs w:val="24"/>
                <w:highlight w:val="none"/>
                <w:lang w:val="en-US" w:eastAsia="zh-CN"/>
              </w:rPr>
              <w:t>工程</w:t>
            </w:r>
          </w:p>
          <w:p w14:paraId="63C34B5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竣工验收合格后付至85%(计算方式同上)，工程竣工验收完成及工程结算审核完成付至监理范围内工程结算价×中标监理费率的90%，工程竣工资料和监理资料整理并验收合格并移交给相关部门且缺陷责任期满后付至监理范围内工程结算价×中标监理费率的</w:t>
            </w:r>
            <w:r>
              <w:rPr>
                <w:rFonts w:hint="eastAsia" w:ascii="宋体" w:hAnsi="宋体" w:cs="Times New Roman"/>
                <w:b/>
                <w:bCs/>
                <w:color w:val="auto"/>
                <w:sz w:val="24"/>
                <w:szCs w:val="24"/>
                <w:highlight w:val="none"/>
                <w:lang w:val="en-US" w:eastAsia="zh-CN"/>
              </w:rPr>
              <w:t>1</w:t>
            </w:r>
            <w:r>
              <w:rPr>
                <w:rFonts w:hint="eastAsia" w:ascii="宋体" w:hAnsi="宋体" w:eastAsia="宋体" w:cs="Times New Roman"/>
                <w:b/>
                <w:bCs/>
                <w:color w:val="auto"/>
                <w:sz w:val="24"/>
                <w:szCs w:val="24"/>
                <w:highlight w:val="none"/>
                <w:lang w:val="en-US" w:eastAsia="zh-CN"/>
              </w:rPr>
              <w:t>00%。</w:t>
            </w:r>
          </w:p>
          <w:p w14:paraId="46062D1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b/>
                <w:bCs/>
                <w:color w:val="auto"/>
                <w:sz w:val="24"/>
                <w:szCs w:val="24"/>
                <w:highlight w:val="none"/>
                <w:lang w:val="en-US" w:eastAsia="zh-CN"/>
              </w:rPr>
            </w:pPr>
            <w:r>
              <w:rPr>
                <w:rFonts w:hint="eastAsia" w:ascii="宋体" w:hAnsi="宋体" w:cs="Times New Roman"/>
                <w:b/>
                <w:bCs/>
                <w:color w:val="auto"/>
                <w:sz w:val="24"/>
                <w:szCs w:val="24"/>
                <w:highlight w:val="none"/>
                <w:lang w:val="en-US" w:eastAsia="zh-CN"/>
              </w:rPr>
              <w:t>注：本工程监理服务费以监理范围内最终工程竣工结算核定价为计费基数，进度款计费基础暂按施工单位中标价作为计费基础，计费费率按监理单位中标的费率</w:t>
            </w:r>
            <w:r>
              <w:rPr>
                <w:rFonts w:hint="eastAsia" w:ascii="宋体" w:hAnsi="宋体" w:eastAsia="宋体" w:cs="Times New Roman"/>
                <w:b/>
                <w:bCs/>
                <w:color w:val="auto"/>
                <w:sz w:val="24"/>
                <w:szCs w:val="24"/>
                <w:highlight w:val="none"/>
                <w:lang w:val="en-US" w:eastAsia="zh-CN"/>
              </w:rPr>
              <w:t>。</w:t>
            </w:r>
          </w:p>
          <w:p w14:paraId="4D39AD2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olor w:val="auto"/>
                <w:sz w:val="24"/>
                <w:szCs w:val="24"/>
                <w:highlight w:val="none"/>
                <w:lang w:val="en-US" w:eastAsia="zh-CN"/>
              </w:rPr>
            </w:pPr>
            <w:r>
              <w:rPr>
                <w:rFonts w:hint="default" w:ascii="宋体" w:hAnsi="宋体" w:eastAsia="宋体" w:cs="Times New Roman"/>
                <w:b/>
                <w:bCs/>
                <w:color w:val="auto"/>
                <w:sz w:val="24"/>
                <w:szCs w:val="24"/>
                <w:highlight w:val="none"/>
                <w:lang w:val="en-US" w:eastAsia="zh-CN"/>
              </w:rPr>
              <w:t>④</w:t>
            </w:r>
            <w:r>
              <w:rPr>
                <w:rFonts w:hint="eastAsia" w:ascii="宋体" w:hAnsi="宋体" w:eastAsia="宋体" w:cs="Times New Roman"/>
                <w:b/>
                <w:bCs/>
                <w:color w:val="auto"/>
                <w:sz w:val="24"/>
                <w:szCs w:val="24"/>
                <w:highlight w:val="none"/>
                <w:lang w:val="en-US" w:eastAsia="zh-CN"/>
              </w:rPr>
              <w:t>本工程监理费率为“固定费率”。监理人的中标费率不因工程量的增减和政策性调整而改变。</w:t>
            </w:r>
          </w:p>
        </w:tc>
      </w:tr>
      <w:tr w14:paraId="5E32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240345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15</w:t>
            </w:r>
          </w:p>
        </w:tc>
        <w:tc>
          <w:tcPr>
            <w:tcW w:w="2032" w:type="dxa"/>
            <w:vAlign w:val="center"/>
          </w:tcPr>
          <w:p w14:paraId="1D611E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招标代理服务费</w:t>
            </w:r>
          </w:p>
        </w:tc>
        <w:tc>
          <w:tcPr>
            <w:tcW w:w="7212" w:type="dxa"/>
            <w:tcBorders>
              <w:right w:val="single" w:color="auto" w:sz="12" w:space="0"/>
            </w:tcBorders>
            <w:vAlign w:val="center"/>
          </w:tcPr>
          <w:p w14:paraId="208216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8"/>
                <w:szCs w:val="28"/>
                <w:highlight w:val="none"/>
              </w:rPr>
            </w:pPr>
            <w:r>
              <w:rPr>
                <w:rStyle w:val="64"/>
                <w:rFonts w:ascii="宋体" w:hAnsi="宋体"/>
                <w:color w:val="auto"/>
                <w:kern w:val="0"/>
                <w:sz w:val="24"/>
                <w:szCs w:val="24"/>
                <w:highlight w:val="none"/>
              </w:rPr>
              <w:t>代理服务费</w:t>
            </w:r>
            <w:r>
              <w:rPr>
                <w:rStyle w:val="64"/>
                <w:rFonts w:hint="eastAsia" w:ascii="宋体" w:hAnsi="宋体"/>
                <w:color w:val="auto"/>
                <w:kern w:val="0"/>
                <w:sz w:val="24"/>
                <w:szCs w:val="24"/>
                <w:highlight w:val="none"/>
                <w:lang w:val="en-US"/>
              </w:rPr>
              <w:t>3</w:t>
            </w:r>
            <w:r>
              <w:rPr>
                <w:rStyle w:val="64"/>
                <w:rFonts w:hint="eastAsia" w:ascii="宋体" w:hAnsi="宋体"/>
                <w:color w:val="auto"/>
                <w:kern w:val="0"/>
                <w:sz w:val="24"/>
                <w:szCs w:val="24"/>
                <w:highlight w:val="none"/>
                <w:u w:val="none"/>
              </w:rPr>
              <w:t>000</w:t>
            </w:r>
            <w:r>
              <w:rPr>
                <w:rStyle w:val="64"/>
                <w:rFonts w:ascii="宋体" w:hAnsi="宋体"/>
                <w:color w:val="auto"/>
                <w:kern w:val="0"/>
                <w:sz w:val="24"/>
                <w:szCs w:val="24"/>
                <w:highlight w:val="none"/>
                <w:u w:val="none"/>
              </w:rPr>
              <w:t>元</w:t>
            </w:r>
            <w:r>
              <w:rPr>
                <w:rStyle w:val="64"/>
                <w:rFonts w:ascii="宋体" w:hAnsi="宋体"/>
                <w:color w:val="auto"/>
                <w:kern w:val="0"/>
                <w:sz w:val="24"/>
                <w:szCs w:val="24"/>
                <w:highlight w:val="none"/>
              </w:rPr>
              <w:t>，</w:t>
            </w:r>
            <w:r>
              <w:rPr>
                <w:rStyle w:val="64"/>
                <w:rFonts w:hint="eastAsia" w:ascii="宋体" w:hAnsi="宋体"/>
                <w:color w:val="auto"/>
                <w:kern w:val="0"/>
                <w:sz w:val="24"/>
                <w:szCs w:val="24"/>
                <w:highlight w:val="none"/>
              </w:rPr>
              <w:t>投标人报价时应综合考虑并包含在投标总价内，不单独列项且中标后不得要求招标人另行支付；</w:t>
            </w:r>
            <w:r>
              <w:rPr>
                <w:rStyle w:val="64"/>
                <w:rFonts w:ascii="宋体" w:hAnsi="宋体"/>
                <w:color w:val="auto"/>
                <w:kern w:val="0"/>
                <w:sz w:val="24"/>
                <w:szCs w:val="24"/>
                <w:highlight w:val="none"/>
              </w:rPr>
              <w:t>由</w:t>
            </w:r>
            <w:r>
              <w:rPr>
                <w:rStyle w:val="64"/>
                <w:rFonts w:hint="eastAsia" w:ascii="宋体" w:hAnsi="宋体"/>
                <w:color w:val="auto"/>
                <w:kern w:val="0"/>
                <w:sz w:val="24"/>
                <w:szCs w:val="24"/>
                <w:highlight w:val="none"/>
              </w:rPr>
              <w:t>中标</w:t>
            </w:r>
            <w:r>
              <w:rPr>
                <w:rStyle w:val="64"/>
                <w:rFonts w:ascii="宋体" w:hAnsi="宋体"/>
                <w:color w:val="auto"/>
                <w:kern w:val="0"/>
                <w:sz w:val="24"/>
                <w:szCs w:val="24"/>
                <w:highlight w:val="none"/>
              </w:rPr>
              <w:t>单位在领取</w:t>
            </w:r>
            <w:r>
              <w:rPr>
                <w:rStyle w:val="64"/>
                <w:rFonts w:hint="eastAsia" w:ascii="宋体" w:hAnsi="宋体"/>
                <w:color w:val="auto"/>
                <w:kern w:val="0"/>
                <w:sz w:val="24"/>
                <w:szCs w:val="24"/>
                <w:highlight w:val="none"/>
              </w:rPr>
              <w:t>中标</w:t>
            </w:r>
            <w:r>
              <w:rPr>
                <w:rStyle w:val="64"/>
                <w:rFonts w:ascii="宋体" w:hAnsi="宋体"/>
                <w:color w:val="auto"/>
                <w:kern w:val="0"/>
                <w:sz w:val="24"/>
                <w:szCs w:val="24"/>
                <w:highlight w:val="none"/>
              </w:rPr>
              <w:t>通知书前一次性支付给招标代理机构，招标代理机构不再向招标人</w:t>
            </w:r>
            <w:r>
              <w:rPr>
                <w:rStyle w:val="64"/>
                <w:rFonts w:hint="eastAsia" w:ascii="宋体" w:hAnsi="宋体"/>
                <w:color w:val="auto"/>
                <w:kern w:val="0"/>
                <w:sz w:val="24"/>
                <w:szCs w:val="24"/>
                <w:highlight w:val="none"/>
              </w:rPr>
              <w:t>要求</w:t>
            </w:r>
            <w:r>
              <w:rPr>
                <w:rStyle w:val="64"/>
                <w:rFonts w:ascii="宋体" w:hAnsi="宋体"/>
                <w:color w:val="auto"/>
                <w:kern w:val="0"/>
                <w:sz w:val="24"/>
                <w:szCs w:val="24"/>
                <w:highlight w:val="none"/>
              </w:rPr>
              <w:t xml:space="preserve">支付。 </w:t>
            </w:r>
          </w:p>
        </w:tc>
      </w:tr>
      <w:tr w14:paraId="07F2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337FB2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16</w:t>
            </w:r>
          </w:p>
        </w:tc>
        <w:tc>
          <w:tcPr>
            <w:tcW w:w="2032" w:type="dxa"/>
            <w:vAlign w:val="center"/>
          </w:tcPr>
          <w:p w14:paraId="422E317B">
            <w:pPr>
              <w:pStyle w:val="1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szCs w:val="24"/>
                <w:highlight w:val="none"/>
              </w:rPr>
            </w:pPr>
            <w:r>
              <w:rPr>
                <w:rFonts w:hint="eastAsia" w:ascii="宋体" w:hAnsi="宋体"/>
                <w:color w:val="auto"/>
                <w:szCs w:val="24"/>
                <w:highlight w:val="none"/>
              </w:rPr>
              <w:t>开标注意事项</w:t>
            </w:r>
          </w:p>
        </w:tc>
        <w:tc>
          <w:tcPr>
            <w:tcW w:w="7212" w:type="dxa"/>
            <w:tcBorders>
              <w:right w:val="single" w:color="auto" w:sz="12" w:space="0"/>
            </w:tcBorders>
            <w:vAlign w:val="center"/>
          </w:tcPr>
          <w:p w14:paraId="6B8F0B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olor w:val="auto"/>
                <w:sz w:val="24"/>
                <w:szCs w:val="24"/>
                <w:highlight w:val="none"/>
              </w:rPr>
            </w:pPr>
            <w:r>
              <w:rPr>
                <w:rFonts w:hint="eastAsia" w:ascii="宋体" w:hAnsi="宋体"/>
                <w:color w:val="auto"/>
                <w:sz w:val="24"/>
                <w:szCs w:val="24"/>
                <w:highlight w:val="none"/>
              </w:rPr>
              <w:t>开标会议邀请所有投标人代表参加。详见投标须知中开标部分及评标办法</w:t>
            </w:r>
          </w:p>
        </w:tc>
      </w:tr>
      <w:tr w14:paraId="2456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515B77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17</w:t>
            </w:r>
          </w:p>
        </w:tc>
        <w:tc>
          <w:tcPr>
            <w:tcW w:w="2032" w:type="dxa"/>
            <w:vAlign w:val="center"/>
          </w:tcPr>
          <w:p w14:paraId="778502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 w:val="24"/>
                <w:szCs w:val="24"/>
                <w:highlight w:val="none"/>
              </w:rPr>
            </w:pPr>
            <w:r>
              <w:rPr>
                <w:rFonts w:hint="eastAsia" w:ascii="宋体" w:hAnsi="宋体"/>
                <w:bCs/>
                <w:color w:val="auto"/>
                <w:sz w:val="24"/>
                <w:szCs w:val="24"/>
                <w:highlight w:val="none"/>
              </w:rPr>
              <w:t>领取中标通知书及合同签订要求</w:t>
            </w:r>
          </w:p>
        </w:tc>
        <w:tc>
          <w:tcPr>
            <w:tcW w:w="7212" w:type="dxa"/>
            <w:tcBorders>
              <w:right w:val="single" w:color="auto" w:sz="12" w:space="0"/>
            </w:tcBorders>
          </w:tcPr>
          <w:p w14:paraId="4E43183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1.中标人应在中标公示发布后的5天内领取《中标通知书》，逾期不领取视为放弃中标资格，招标人有权取消中标人中标资格，并将相关情况报送监管部门，由监管部门按规定处理。</w:t>
            </w:r>
          </w:p>
          <w:p w14:paraId="2D565E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2.中标人应在领取《中标通知书》后的30天内与招标人签订合同，逾期未签订合同的，招标人有权拒签合同、取消中标人中标资格，并将相关违约行为报送监管部门，由监管部门按规定处理。</w:t>
            </w:r>
          </w:p>
        </w:tc>
      </w:tr>
      <w:tr w14:paraId="2F3B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1EC62A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8</w:t>
            </w:r>
          </w:p>
        </w:tc>
        <w:tc>
          <w:tcPr>
            <w:tcW w:w="2032" w:type="dxa"/>
            <w:vAlign w:val="center"/>
          </w:tcPr>
          <w:p w14:paraId="2CB6C0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重要提示（一）</w:t>
            </w:r>
          </w:p>
        </w:tc>
        <w:tc>
          <w:tcPr>
            <w:tcW w:w="7212" w:type="dxa"/>
            <w:tcBorders>
              <w:right w:val="single" w:color="auto" w:sz="12" w:space="0"/>
            </w:tcBorders>
            <w:vAlign w:val="center"/>
          </w:tcPr>
          <w:p w14:paraId="5365D6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投标人一旦中标，在监理服务期内自行解决食宿（不得在施工区域内），并配备必要的交通工具和检测设备以及驻场监理驻场期间食宿及交通费用等一切费用由中标人自行承担，否则招标人有权扣除30%监理服务费。</w:t>
            </w:r>
          </w:p>
          <w:p w14:paraId="6F210C5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2.拟派总监理工程师不得有异地（铜陵市以外地区）在监项目，必须保证完成办理施工许可证。</w:t>
            </w:r>
          </w:p>
          <w:p w14:paraId="1A4C09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3.若监理人投标时拟派的监理人员不能到岗履行职责，则委托人有权取消其委托合同，监理人不得拒绝，且造成的一切损失由监理人自行承担。</w:t>
            </w:r>
          </w:p>
          <w:p w14:paraId="214C98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4.在项目实施期间，投标文件中明确配备的监理人员必须全员在岗，执行人脸识别考勤并严格执行考勤制度，确保项目总监及现场监理人员每月在岗不少于</w:t>
            </w:r>
            <w:r>
              <w:rPr>
                <w:rFonts w:hint="eastAsia" w:ascii="宋体" w:hAnsi="宋体" w:eastAsia="宋体"/>
                <w:color w:val="auto"/>
                <w:sz w:val="24"/>
                <w:szCs w:val="24"/>
                <w:highlight w:val="none"/>
                <w:lang w:val="en-US" w:eastAsia="zh-CN"/>
              </w:rPr>
              <w:t>26</w:t>
            </w:r>
            <w:r>
              <w:rPr>
                <w:rFonts w:hint="eastAsia" w:ascii="宋体" w:hAnsi="宋体" w:eastAsia="宋体"/>
                <w:color w:val="auto"/>
                <w:sz w:val="24"/>
                <w:szCs w:val="24"/>
                <w:highlight w:val="none"/>
              </w:rPr>
              <w:t>天，总监缺勤一天罚款2000元，其他人员缺勤一天罚款1000元。招标人认为监理人员不满足招标人要求，监理人必须更换监理人员至招标人满意为止；监理人拒不更换，招标人将按每人5000 元/月从监理费中扣除该监理人员的费用。</w:t>
            </w:r>
          </w:p>
          <w:p w14:paraId="5FC70C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5.所有监理人员年龄不得超过60周岁，招标人认为监理人员不满足招标人要求，监理人必须更换监理人员至招标人满意为止；监理人拒不更换，招标人将按每人5000元/月从监理费中扣除该监理人员的费用。</w:t>
            </w:r>
          </w:p>
          <w:p w14:paraId="5966D46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中标人按投标书承诺的人员组建监理部，监理部人员现场作业施工期间（不论夜间还是节假日）均应在岗履职（招标人不另行增加费用）；没有经过采购人的书面同意，工程竣工验收前，不更换监理部人员，否则接受招标人处罚。</w:t>
            </w:r>
          </w:p>
          <w:p w14:paraId="3A0161D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7.监理单位权限：须经过建设单位授权才能实施的权限：图纸变更权、与经济有关的确认权、开工令、停工令、施工单位项目组成人员变更权限。</w:t>
            </w:r>
          </w:p>
          <w:p w14:paraId="2F4DA80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rPr>
              <w:t>8.监理单位在审核施工单位提供的正式经济签证文书前，施工单位必须提供建设单位现场确认的原始记录，否则，监理单位不能在正式经济鉴证文书上签证盖章。正式经济签证文书必须经总监理工程师签字确认并加盖监理单位法人章。</w:t>
            </w:r>
          </w:p>
        </w:tc>
      </w:tr>
      <w:tr w14:paraId="0CC1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tcBorders>
            <w:vAlign w:val="center"/>
          </w:tcPr>
          <w:p w14:paraId="0FA70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19</w:t>
            </w:r>
          </w:p>
        </w:tc>
        <w:tc>
          <w:tcPr>
            <w:tcW w:w="2032" w:type="dxa"/>
            <w:vAlign w:val="center"/>
          </w:tcPr>
          <w:p w14:paraId="60255A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重要提示（</w:t>
            </w:r>
            <w:r>
              <w:rPr>
                <w:rFonts w:hint="eastAsia" w:ascii="宋体" w:hAnsi="宋体" w:cs="宋体"/>
                <w:color w:val="auto"/>
                <w:sz w:val="24"/>
                <w:highlight w:val="none"/>
                <w:lang w:val="en-US" w:eastAsia="zh-CN"/>
              </w:rPr>
              <w:t>二</w:t>
            </w:r>
            <w:r>
              <w:rPr>
                <w:rFonts w:hint="eastAsia" w:ascii="宋体" w:hAnsi="宋体" w:cs="宋体"/>
                <w:color w:val="auto"/>
                <w:sz w:val="24"/>
                <w:highlight w:val="none"/>
              </w:rPr>
              <w:t>）</w:t>
            </w:r>
          </w:p>
        </w:tc>
        <w:tc>
          <w:tcPr>
            <w:tcW w:w="7212" w:type="dxa"/>
            <w:tcBorders>
              <w:right w:val="single" w:color="auto" w:sz="12" w:space="0"/>
            </w:tcBorders>
            <w:vAlign w:val="center"/>
          </w:tcPr>
          <w:p w14:paraId="522DA7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关于该项目</w:t>
            </w:r>
            <w:r>
              <w:rPr>
                <w:rFonts w:hint="eastAsia" w:ascii="宋体" w:hAnsi="宋体" w:eastAsia="宋体"/>
                <w:color w:val="auto"/>
                <w:sz w:val="24"/>
                <w:szCs w:val="24"/>
                <w:highlight w:val="none"/>
                <w:lang w:val="en-US" w:eastAsia="zh-CN"/>
              </w:rPr>
              <w:t>招标文件</w:t>
            </w:r>
            <w:r>
              <w:rPr>
                <w:rFonts w:hint="eastAsia" w:ascii="宋体" w:hAnsi="宋体" w:eastAsia="宋体"/>
                <w:color w:val="auto"/>
                <w:sz w:val="24"/>
                <w:szCs w:val="24"/>
                <w:highlight w:val="none"/>
              </w:rPr>
              <w:t>中的投标函部分的说明：</w:t>
            </w:r>
          </w:p>
          <w:p w14:paraId="646E71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olor w:val="auto"/>
                <w:sz w:val="24"/>
                <w:szCs w:val="24"/>
                <w:highlight w:val="none"/>
                <w:lang w:val="en-US" w:eastAsia="zh-CN"/>
              </w:rPr>
            </w:pPr>
            <w:r>
              <w:rPr>
                <w:rFonts w:hint="eastAsia" w:ascii="宋体" w:hAnsi="宋体" w:eastAsia="宋体"/>
                <w:color w:val="auto"/>
                <w:sz w:val="24"/>
                <w:szCs w:val="24"/>
                <w:highlight w:val="none"/>
              </w:rPr>
              <w:t>各投标单位的商务报价均按招标文件中的《投标函》格式填写，商务标评审以</w:t>
            </w:r>
            <w:r>
              <w:rPr>
                <w:rFonts w:hint="eastAsia" w:ascii="宋体" w:hAnsi="宋体" w:eastAsia="宋体"/>
                <w:color w:val="auto"/>
                <w:sz w:val="24"/>
                <w:szCs w:val="24"/>
                <w:highlight w:val="none"/>
                <w:lang w:val="en-US" w:eastAsia="zh-CN"/>
              </w:rPr>
              <w:t>投标函</w:t>
            </w:r>
            <w:r>
              <w:rPr>
                <w:rFonts w:hint="eastAsia" w:ascii="宋体" w:hAnsi="宋体" w:eastAsia="宋体"/>
                <w:color w:val="auto"/>
                <w:sz w:val="24"/>
                <w:szCs w:val="24"/>
                <w:highlight w:val="none"/>
              </w:rPr>
              <w:t>内容为准。</w:t>
            </w:r>
          </w:p>
        </w:tc>
      </w:tr>
      <w:tr w14:paraId="589A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55" w:type="dxa"/>
            <w:tcBorders>
              <w:left w:val="single" w:color="auto" w:sz="12" w:space="0"/>
              <w:bottom w:val="single" w:color="auto" w:sz="12" w:space="0"/>
            </w:tcBorders>
            <w:vAlign w:val="center"/>
          </w:tcPr>
          <w:p w14:paraId="32A92F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20</w:t>
            </w:r>
          </w:p>
        </w:tc>
        <w:tc>
          <w:tcPr>
            <w:tcW w:w="2032" w:type="dxa"/>
            <w:tcBorders>
              <w:bottom w:val="single" w:color="auto" w:sz="12" w:space="0"/>
            </w:tcBorders>
            <w:vAlign w:val="center"/>
          </w:tcPr>
          <w:p w14:paraId="695D42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Cs/>
                <w:color w:val="auto"/>
                <w:sz w:val="24"/>
                <w:szCs w:val="24"/>
                <w:highlight w:val="none"/>
              </w:rPr>
            </w:pPr>
            <w:r>
              <w:rPr>
                <w:rFonts w:hint="eastAsia" w:ascii="宋体" w:hAnsi="宋体"/>
                <w:bCs/>
                <w:color w:val="auto"/>
                <w:sz w:val="24"/>
                <w:szCs w:val="24"/>
                <w:highlight w:val="none"/>
              </w:rPr>
              <w:t>招标文件的解释权顺序</w:t>
            </w:r>
          </w:p>
        </w:tc>
        <w:tc>
          <w:tcPr>
            <w:tcW w:w="7212" w:type="dxa"/>
            <w:tcBorders>
              <w:bottom w:val="single" w:color="auto" w:sz="12" w:space="0"/>
              <w:right w:val="single" w:color="auto" w:sz="12" w:space="0"/>
            </w:tcBorders>
            <w:vAlign w:val="center"/>
          </w:tcPr>
          <w:p w14:paraId="41CDEDB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highlight w:val="none"/>
              </w:rPr>
            </w:pPr>
            <w:r>
              <w:rPr>
                <w:rFonts w:hint="eastAsia" w:ascii="宋体" w:hAnsi="宋体"/>
                <w:color w:val="auto"/>
                <w:sz w:val="24"/>
                <w:szCs w:val="24"/>
                <w:highlight w:val="none"/>
              </w:rPr>
              <w:t>1.构成本招标文件的各个组成文件应互为解释，互为说明；</w:t>
            </w:r>
          </w:p>
          <w:p w14:paraId="30285463">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highlight w:val="none"/>
              </w:rPr>
            </w:pPr>
            <w:r>
              <w:rPr>
                <w:rFonts w:hint="eastAsia" w:ascii="宋体" w:hAnsi="宋体"/>
                <w:color w:val="auto"/>
                <w:sz w:val="24"/>
                <w:szCs w:val="24"/>
                <w:highlight w:val="none"/>
              </w:rPr>
              <w:t>2.招标文件约定中如有不明确或不一致的，工程量以工程量清单为准；构成合同组成内容的，以合同文件约定内容为准；</w:t>
            </w:r>
          </w:p>
          <w:p w14:paraId="13B49B3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4"/>
                <w:szCs w:val="24"/>
                <w:highlight w:val="none"/>
              </w:rPr>
            </w:pPr>
            <w:r>
              <w:rPr>
                <w:rFonts w:hint="eastAsia" w:ascii="宋体" w:hAnsi="宋体"/>
                <w:color w:val="auto"/>
                <w:sz w:val="24"/>
                <w:szCs w:val="24"/>
                <w:highlight w:val="none"/>
              </w:rPr>
              <w:t>3.除招标文件中有特别规定外，仅适用于招标投标阶段的规定，同一组成文件中就同一事项的规定或约定不一致的，按评标办法、招标公告、投标人须知、投标文件格式的优先顺序解释；</w:t>
            </w:r>
          </w:p>
          <w:p w14:paraId="7AFDC9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bCs/>
                <w:color w:val="auto"/>
                <w:sz w:val="24"/>
                <w:szCs w:val="24"/>
                <w:highlight w:val="none"/>
              </w:rPr>
            </w:pPr>
            <w:r>
              <w:rPr>
                <w:rFonts w:hint="eastAsia" w:ascii="宋体" w:hAnsi="宋体"/>
                <w:color w:val="auto"/>
                <w:sz w:val="24"/>
                <w:szCs w:val="24"/>
                <w:highlight w:val="none"/>
              </w:rPr>
              <w:t>4.按上述规定仍不能形成结论的，由招标人或其委托的招标代理机构负责解释。</w:t>
            </w:r>
          </w:p>
        </w:tc>
      </w:tr>
    </w:tbl>
    <w:p w14:paraId="27AE2545">
      <w:pPr>
        <w:rPr>
          <w:rFonts w:ascii="宋体" w:hAnsi="宋体" w:cs="宋体"/>
          <w:b/>
          <w:color w:val="auto"/>
          <w:sz w:val="32"/>
          <w:szCs w:val="32"/>
          <w:highlight w:val="none"/>
        </w:rPr>
      </w:pPr>
      <w:r>
        <w:rPr>
          <w:rFonts w:hint="eastAsia" w:ascii="宋体" w:hAnsi="宋体" w:cs="宋体"/>
          <w:b/>
          <w:color w:val="auto"/>
          <w:sz w:val="32"/>
          <w:szCs w:val="32"/>
          <w:highlight w:val="none"/>
        </w:rPr>
        <w:br w:type="page"/>
      </w:r>
    </w:p>
    <w:p w14:paraId="7FAF1FE1">
      <w:pPr>
        <w:spacing w:line="40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第二部分  工程综合说明</w:t>
      </w:r>
    </w:p>
    <w:p w14:paraId="071D8CE9">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18"/>
          <w:highlight w:val="none"/>
        </w:rPr>
      </w:pPr>
      <w:r>
        <w:rPr>
          <w:rFonts w:hint="eastAsia" w:ascii="宋体" w:hAnsi="宋体" w:cs="宋体"/>
          <w:b/>
          <w:color w:val="auto"/>
          <w:sz w:val="24"/>
          <w:szCs w:val="18"/>
          <w:highlight w:val="none"/>
        </w:rPr>
        <w:t>1.1工程概况</w:t>
      </w:r>
    </w:p>
    <w:p w14:paraId="325EEDA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color w:val="auto"/>
          <w:sz w:val="24"/>
          <w:szCs w:val="24"/>
          <w:highlight w:val="none"/>
          <w:lang w:val="en-US"/>
        </w:rPr>
      </w:pPr>
      <w:r>
        <w:rPr>
          <w:rFonts w:hint="eastAsia" w:ascii="宋体" w:hAnsi="宋体" w:cs="宋体"/>
          <w:color w:val="auto"/>
          <w:sz w:val="24"/>
          <w:szCs w:val="18"/>
          <w:highlight w:val="none"/>
        </w:rPr>
        <w:t>1.1.1工程名称：</w:t>
      </w:r>
      <w:r>
        <w:rPr>
          <w:rFonts w:hint="eastAsia" w:ascii="宋体" w:hAnsi="宋体"/>
          <w:color w:val="auto"/>
          <w:sz w:val="24"/>
          <w:szCs w:val="24"/>
          <w:highlight w:val="none"/>
          <w:lang w:eastAsia="zh-CN"/>
        </w:rPr>
        <w:t>铜官区露采商业综合楼改造提升工程（</w:t>
      </w:r>
      <w:r>
        <w:rPr>
          <w:rFonts w:hint="eastAsia" w:ascii="宋体" w:hAnsi="宋体"/>
          <w:color w:val="auto"/>
          <w:sz w:val="24"/>
          <w:szCs w:val="24"/>
          <w:highlight w:val="none"/>
          <w:lang w:val="en-US" w:eastAsia="zh-CN"/>
        </w:rPr>
        <w:t>改造提升、智能化</w:t>
      </w:r>
      <w:r>
        <w:rPr>
          <w:rFonts w:hint="eastAsia" w:ascii="宋体" w:hAnsi="宋体"/>
          <w:color w:val="auto"/>
          <w:sz w:val="24"/>
          <w:szCs w:val="24"/>
          <w:highlight w:val="none"/>
          <w:lang w:eastAsia="zh-CN"/>
        </w:rPr>
        <w:t>）监理服务</w:t>
      </w:r>
    </w:p>
    <w:p w14:paraId="75DD6E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1.1.2工程地点及周围环境：投标人自行现场踏勘、了解。</w:t>
      </w:r>
    </w:p>
    <w:p w14:paraId="5D40C18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rPr>
        <w:t>1.1.3工程规模内容及工程概算：</w:t>
      </w:r>
      <w:r>
        <w:rPr>
          <w:rFonts w:hint="eastAsia" w:ascii="宋体" w:hAnsi="宋体" w:eastAsia="宋体" w:cs="宋体"/>
          <w:color w:val="auto"/>
          <w:sz w:val="24"/>
          <w:szCs w:val="18"/>
          <w:highlight w:val="none"/>
          <w:lang w:val="en-US" w:eastAsia="zh-CN"/>
        </w:rPr>
        <w:t>本项目建设内容涉及露采商业综合楼改造提升，建筑面积8847.14m²，包括改造提升、水电暖通工程、空调、综合布线系统、综合管路系统、计算机网络系统、综合安防系统、信息发布系统、会议系统、门禁系统、停车管理系统、执法办案区、机房工程、三网共建共享工程等内容。本项目建安工程费约1675.48万元</w:t>
      </w:r>
      <w:r>
        <w:rPr>
          <w:rFonts w:hint="eastAsia" w:ascii="宋体" w:hAnsi="宋体" w:cs="宋体"/>
          <w:color w:val="auto"/>
          <w:sz w:val="24"/>
          <w:szCs w:val="18"/>
          <w:highlight w:val="none"/>
          <w:lang w:val="en-US" w:eastAsia="zh-CN"/>
        </w:rPr>
        <w:t>。</w:t>
      </w:r>
    </w:p>
    <w:p w14:paraId="39B9639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s="宋体"/>
          <w:color w:val="auto"/>
          <w:sz w:val="24"/>
          <w:szCs w:val="18"/>
          <w:highlight w:val="none"/>
        </w:rPr>
      </w:pPr>
      <w:r>
        <w:rPr>
          <w:rFonts w:hint="eastAsia" w:ascii="宋体" w:hAnsi="宋体" w:cs="宋体"/>
          <w:color w:val="auto"/>
          <w:sz w:val="24"/>
          <w:szCs w:val="18"/>
          <w:highlight w:val="none"/>
        </w:rPr>
        <w:t>1.1.4标段划分：一个标段。</w:t>
      </w:r>
    </w:p>
    <w:p w14:paraId="19789B2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18"/>
          <w:highlight w:val="none"/>
        </w:rPr>
      </w:pPr>
      <w:r>
        <w:rPr>
          <w:rFonts w:hint="eastAsia" w:ascii="宋体" w:hAnsi="宋体" w:cs="宋体"/>
          <w:b/>
          <w:color w:val="auto"/>
          <w:sz w:val="24"/>
          <w:szCs w:val="18"/>
          <w:highlight w:val="none"/>
        </w:rPr>
        <w:t>1.2有关单位和机构</w:t>
      </w:r>
    </w:p>
    <w:p w14:paraId="71E29B3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18"/>
          <w:highlight w:val="none"/>
        </w:rPr>
      </w:pPr>
      <w:r>
        <w:rPr>
          <w:rFonts w:hint="eastAsia" w:ascii="宋体" w:hAnsi="宋体" w:cs="宋体"/>
          <w:color w:val="auto"/>
          <w:sz w:val="24"/>
          <w:szCs w:val="18"/>
          <w:highlight w:val="none"/>
        </w:rPr>
        <w:t>1.2.1 建设单位：</w:t>
      </w:r>
      <w:r>
        <w:rPr>
          <w:rFonts w:hint="eastAsia" w:ascii="宋体" w:hAnsi="宋体" w:cs="宋体"/>
          <w:color w:val="auto"/>
          <w:sz w:val="24"/>
          <w:szCs w:val="18"/>
          <w:highlight w:val="none"/>
          <w:lang w:eastAsia="zh-CN"/>
        </w:rPr>
        <w:t>铜陵江城置业有限公司</w:t>
      </w:r>
      <w:r>
        <w:rPr>
          <w:rFonts w:hint="eastAsia"/>
          <w:color w:val="auto"/>
          <w:sz w:val="24"/>
          <w:szCs w:val="18"/>
          <w:highlight w:val="none"/>
        </w:rPr>
        <w:t xml:space="preserve"> </w:t>
      </w:r>
    </w:p>
    <w:p w14:paraId="1C84E5C9">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18"/>
          <w:highlight w:val="none"/>
        </w:rPr>
      </w:pPr>
      <w:r>
        <w:rPr>
          <w:rFonts w:hint="eastAsia" w:ascii="宋体" w:hAnsi="宋体" w:cs="宋体"/>
          <w:b/>
          <w:color w:val="auto"/>
          <w:sz w:val="24"/>
          <w:szCs w:val="18"/>
          <w:highlight w:val="none"/>
        </w:rPr>
        <w:t>1.3招标范围</w:t>
      </w:r>
    </w:p>
    <w:p w14:paraId="70F969D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包含但不限于建设内容所约定的全部工作，施工至竣工验收各阶段的进度、质量、投资控制、安全文明施工、合同、信息管理和组织协调、配合招标人工程询价与造价审核工作等监理服务和相关配套服务，做到与施工单位同步进场同步出场,以及业主安排的其他事项。</w:t>
      </w:r>
    </w:p>
    <w:p w14:paraId="117A0759">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18"/>
          <w:highlight w:val="none"/>
        </w:rPr>
      </w:pPr>
      <w:r>
        <w:rPr>
          <w:rFonts w:hint="eastAsia" w:ascii="宋体" w:hAnsi="宋体" w:cs="宋体"/>
          <w:b/>
          <w:color w:val="auto"/>
          <w:sz w:val="24"/>
          <w:szCs w:val="18"/>
          <w:highlight w:val="none"/>
        </w:rPr>
        <w:t>1.4施工质量目标：合格。</w:t>
      </w:r>
    </w:p>
    <w:p w14:paraId="064397F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18"/>
          <w:highlight w:val="none"/>
        </w:rPr>
      </w:pPr>
      <w:r>
        <w:rPr>
          <w:rFonts w:hint="eastAsia" w:ascii="宋体" w:hAnsi="宋体" w:cs="宋体"/>
          <w:b/>
          <w:color w:val="auto"/>
          <w:sz w:val="24"/>
          <w:szCs w:val="18"/>
          <w:highlight w:val="none"/>
        </w:rPr>
        <w:t>1.5监理服务期</w:t>
      </w:r>
    </w:p>
    <w:p w14:paraId="47F693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本项目施工总工期150日历天</w:t>
      </w:r>
      <w:r>
        <w:rPr>
          <w:rFonts w:hint="eastAsia" w:ascii="宋体" w:hAnsi="宋体"/>
          <w:color w:val="auto"/>
          <w:sz w:val="24"/>
          <w:szCs w:val="24"/>
          <w:highlight w:val="none"/>
          <w:lang w:eastAsia="zh-CN"/>
        </w:rPr>
        <w:t>，监理服务期为工程施工准备阶段至工程竣工验收（同工程总承包合同工期）、后期结算</w:t>
      </w:r>
      <w:r>
        <w:rPr>
          <w:rFonts w:hint="eastAsia" w:ascii="宋体" w:hAnsi="宋体"/>
          <w:color w:val="auto"/>
          <w:sz w:val="24"/>
          <w:szCs w:val="24"/>
          <w:highlight w:val="none"/>
          <w:lang w:val="en-US" w:eastAsia="zh-CN"/>
        </w:rPr>
        <w:t>审核</w:t>
      </w:r>
      <w:r>
        <w:rPr>
          <w:rFonts w:hint="eastAsia" w:ascii="宋体" w:hAnsi="宋体"/>
          <w:color w:val="auto"/>
          <w:sz w:val="24"/>
          <w:szCs w:val="24"/>
          <w:highlight w:val="none"/>
          <w:lang w:eastAsia="zh-CN"/>
        </w:rPr>
        <w:t>结束及缺陷责任期满，以实际工期为准，工期增加监理费不增加</w:t>
      </w:r>
      <w:r>
        <w:rPr>
          <w:rFonts w:hint="eastAsia" w:ascii="宋体" w:hAnsi="宋体"/>
          <w:color w:val="auto"/>
          <w:sz w:val="24"/>
          <w:szCs w:val="24"/>
          <w:highlight w:val="none"/>
        </w:rPr>
        <w:t>。</w:t>
      </w:r>
    </w:p>
    <w:p w14:paraId="658B2A3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rPr>
        <w:t>1.6监理服务内容和要求:</w:t>
      </w:r>
    </w:p>
    <w:p w14:paraId="59037EE3">
      <w:pPr>
        <w:spacing w:before="184" w:line="359" w:lineRule="auto"/>
        <w:ind w:right="80" w:firstLine="49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1.6.1</w:t>
      </w:r>
      <w:r>
        <w:rPr>
          <w:rFonts w:ascii="宋体" w:hAnsi="宋体" w:eastAsia="宋体" w:cs="宋体"/>
          <w:color w:val="auto"/>
          <w:spacing w:val="-28"/>
          <w:sz w:val="24"/>
          <w:szCs w:val="24"/>
          <w:highlight w:val="none"/>
        </w:rPr>
        <w:t xml:space="preserve"> </w:t>
      </w:r>
      <w:r>
        <w:rPr>
          <w:rFonts w:ascii="宋体" w:hAnsi="宋体" w:eastAsia="宋体" w:cs="宋体"/>
          <w:color w:val="auto"/>
          <w:spacing w:val="-3"/>
          <w:sz w:val="24"/>
          <w:szCs w:val="24"/>
          <w:highlight w:val="none"/>
        </w:rPr>
        <w:t>中标人应当聘用一定数量的监理人员从事工程建</w:t>
      </w:r>
      <w:r>
        <w:rPr>
          <w:rFonts w:ascii="宋体" w:hAnsi="宋体" w:eastAsia="宋体" w:cs="宋体"/>
          <w:color w:val="auto"/>
          <w:spacing w:val="-4"/>
          <w:sz w:val="24"/>
          <w:szCs w:val="24"/>
          <w:highlight w:val="none"/>
        </w:rPr>
        <w:t>设监理业务。监理人员包括总</w:t>
      </w:r>
      <w:r>
        <w:rPr>
          <w:rFonts w:ascii="宋体" w:hAnsi="宋体" w:eastAsia="宋体" w:cs="宋体"/>
          <w:color w:val="auto"/>
          <w:spacing w:val="3"/>
          <w:sz w:val="24"/>
          <w:szCs w:val="24"/>
          <w:highlight w:val="none"/>
        </w:rPr>
        <w:t>监理工程师、监理工程师和监理员。总监理工程师、监</w:t>
      </w:r>
      <w:r>
        <w:rPr>
          <w:rFonts w:ascii="宋体" w:hAnsi="宋体" w:eastAsia="宋体" w:cs="宋体"/>
          <w:color w:val="auto"/>
          <w:spacing w:val="2"/>
          <w:sz w:val="24"/>
          <w:szCs w:val="24"/>
          <w:highlight w:val="none"/>
        </w:rPr>
        <w:t>理工程师应当具有监理工程师职</w:t>
      </w:r>
      <w:r>
        <w:rPr>
          <w:rFonts w:ascii="宋体" w:hAnsi="宋体" w:eastAsia="宋体" w:cs="宋体"/>
          <w:color w:val="auto"/>
          <w:spacing w:val="-3"/>
          <w:sz w:val="24"/>
          <w:szCs w:val="24"/>
          <w:highlight w:val="none"/>
        </w:rPr>
        <w:t>业资格。</w:t>
      </w:r>
    </w:p>
    <w:p w14:paraId="59E1A1AF">
      <w:pPr>
        <w:spacing w:before="1" w:line="359" w:lineRule="auto"/>
        <w:ind w:firstLine="49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1.6.2</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监理人员应当保守执（从）业秘密，并不得同时在两个以上工程项目从事监理</w:t>
      </w:r>
      <w:r>
        <w:rPr>
          <w:rFonts w:ascii="宋体" w:hAnsi="宋体" w:eastAsia="宋体" w:cs="宋体"/>
          <w:color w:val="auto"/>
          <w:spacing w:val="-1"/>
          <w:sz w:val="24"/>
          <w:szCs w:val="24"/>
          <w:highlight w:val="none"/>
        </w:rPr>
        <w:t>业务，不得与被监理单位以及建筑材料、建</w:t>
      </w:r>
      <w:r>
        <w:rPr>
          <w:rFonts w:ascii="宋体" w:hAnsi="宋体" w:eastAsia="宋体" w:cs="宋体"/>
          <w:color w:val="auto"/>
          <w:spacing w:val="-2"/>
          <w:sz w:val="24"/>
          <w:szCs w:val="24"/>
          <w:highlight w:val="none"/>
        </w:rPr>
        <w:t>筑构配件和设备供应单位发生经济利益关系。</w:t>
      </w:r>
    </w:p>
    <w:p w14:paraId="1EACABAA">
      <w:pPr>
        <w:spacing w:line="359" w:lineRule="auto"/>
        <w:ind w:left="3" w:right="80" w:firstLine="49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1.6.3</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按照监理合同，选派满足监理工作要求的总监理工程师、监理工程师和监理员</w:t>
      </w:r>
      <w:r>
        <w:rPr>
          <w:rFonts w:ascii="宋体" w:hAnsi="宋体" w:eastAsia="宋体" w:cs="宋体"/>
          <w:color w:val="auto"/>
          <w:spacing w:val="-1"/>
          <w:sz w:val="24"/>
          <w:szCs w:val="24"/>
          <w:highlight w:val="none"/>
        </w:rPr>
        <w:t>组建项目监理机构，进驻现场；</w:t>
      </w:r>
    </w:p>
    <w:p w14:paraId="2BDC7975">
      <w:pPr>
        <w:spacing w:line="360" w:lineRule="auto"/>
        <w:ind w:left="3" w:right="80" w:firstLine="494"/>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1.6.4</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编制监理规划，明确项目监理机构的工作范围、内容、目标和依据，确定监理</w:t>
      </w:r>
      <w:r>
        <w:rPr>
          <w:rFonts w:ascii="宋体" w:hAnsi="宋体" w:eastAsia="宋体" w:cs="宋体"/>
          <w:color w:val="auto"/>
          <w:spacing w:val="3"/>
          <w:sz w:val="24"/>
          <w:szCs w:val="24"/>
          <w:highlight w:val="none"/>
        </w:rPr>
        <w:t>工作制度、程序、方法和措施，并报建设单位</w:t>
      </w:r>
      <w:r>
        <w:rPr>
          <w:rFonts w:ascii="宋体" w:hAnsi="宋体" w:eastAsia="宋体" w:cs="宋体"/>
          <w:color w:val="auto"/>
          <w:spacing w:val="2"/>
          <w:sz w:val="24"/>
          <w:szCs w:val="24"/>
          <w:highlight w:val="none"/>
        </w:rPr>
        <w:t>备案；按照工程建设进度计划，分专业编</w:t>
      </w:r>
      <w:r>
        <w:rPr>
          <w:rFonts w:ascii="宋体" w:hAnsi="宋体" w:eastAsia="宋体" w:cs="宋体"/>
          <w:color w:val="auto"/>
          <w:spacing w:val="1"/>
          <w:sz w:val="24"/>
          <w:szCs w:val="24"/>
          <w:highlight w:val="none"/>
        </w:rPr>
        <w:t>制监理实施细则；按照监理规划和监理实施细则开展监理工作，编制并提交监理报告；</w:t>
      </w:r>
      <w:r>
        <w:rPr>
          <w:rFonts w:ascii="宋体" w:hAnsi="宋体" w:eastAsia="宋体" w:cs="宋体"/>
          <w:color w:val="auto"/>
          <w:sz w:val="24"/>
          <w:szCs w:val="24"/>
          <w:highlight w:val="none"/>
        </w:rPr>
        <w:t>监理业务完成后，按照监理合同向建设单位提交监理</w:t>
      </w:r>
      <w:r>
        <w:rPr>
          <w:rFonts w:ascii="宋体" w:hAnsi="宋体" w:eastAsia="宋体" w:cs="宋体"/>
          <w:color w:val="auto"/>
          <w:spacing w:val="-1"/>
          <w:sz w:val="24"/>
          <w:szCs w:val="24"/>
          <w:highlight w:val="none"/>
        </w:rPr>
        <w:t>工作报告、移交档案资料。</w:t>
      </w:r>
    </w:p>
    <w:p w14:paraId="19689520">
      <w:pPr>
        <w:spacing w:line="219" w:lineRule="auto"/>
        <w:ind w:left="49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1.6.5</w:t>
      </w:r>
      <w:r>
        <w:rPr>
          <w:rFonts w:ascii="宋体" w:hAnsi="宋体" w:eastAsia="宋体" w:cs="宋体"/>
          <w:color w:val="auto"/>
          <w:spacing w:val="-39"/>
          <w:sz w:val="24"/>
          <w:szCs w:val="24"/>
          <w:highlight w:val="none"/>
        </w:rPr>
        <w:t xml:space="preserve"> </w:t>
      </w:r>
      <w:r>
        <w:rPr>
          <w:rFonts w:ascii="宋体" w:hAnsi="宋体" w:eastAsia="宋体" w:cs="宋体"/>
          <w:color w:val="auto"/>
          <w:spacing w:val="-2"/>
          <w:sz w:val="24"/>
          <w:szCs w:val="24"/>
          <w:highlight w:val="none"/>
        </w:rPr>
        <w:t>工程建设项目监理实行总监理工程师负责制。</w:t>
      </w:r>
    </w:p>
    <w:p w14:paraId="48BA0D55">
      <w:pPr>
        <w:spacing w:before="183" w:line="359" w:lineRule="auto"/>
        <w:ind w:left="3" w:right="61" w:firstLine="483"/>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总监理工程师负责全面履行监理合同约定的监理</w:t>
      </w:r>
      <w:r>
        <w:rPr>
          <w:rFonts w:ascii="宋体" w:hAnsi="宋体" w:eastAsia="宋体" w:cs="宋体"/>
          <w:color w:val="auto"/>
          <w:spacing w:val="2"/>
          <w:sz w:val="24"/>
          <w:szCs w:val="24"/>
          <w:highlight w:val="none"/>
        </w:rPr>
        <w:t>单位职责，发布有关指令，签署监</w:t>
      </w:r>
      <w:r>
        <w:rPr>
          <w:rFonts w:ascii="宋体" w:hAnsi="宋体" w:eastAsia="宋体" w:cs="宋体"/>
          <w:color w:val="auto"/>
          <w:spacing w:val="-1"/>
          <w:sz w:val="24"/>
          <w:szCs w:val="24"/>
          <w:highlight w:val="none"/>
        </w:rPr>
        <w:t>理文件，协调有关各方之间的关系。</w:t>
      </w:r>
    </w:p>
    <w:p w14:paraId="7C8F9F93">
      <w:pPr>
        <w:spacing w:line="359" w:lineRule="auto"/>
        <w:ind w:left="6" w:firstLine="475"/>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监理工程师在总监理工程师授权范围内开展监理工作，具体负责所承担</w:t>
      </w:r>
      <w:r>
        <w:rPr>
          <w:rFonts w:ascii="宋体" w:hAnsi="宋体" w:eastAsia="宋体" w:cs="宋体"/>
          <w:color w:val="auto"/>
          <w:spacing w:val="-3"/>
          <w:sz w:val="24"/>
          <w:szCs w:val="24"/>
          <w:highlight w:val="none"/>
        </w:rPr>
        <w:t>的监理工作，</w:t>
      </w:r>
      <w:r>
        <w:rPr>
          <w:rFonts w:ascii="宋体" w:hAnsi="宋体" w:eastAsia="宋体" w:cs="宋体"/>
          <w:color w:val="auto"/>
          <w:spacing w:val="-2"/>
          <w:sz w:val="24"/>
          <w:szCs w:val="24"/>
          <w:highlight w:val="none"/>
        </w:rPr>
        <w:t>并对总监理工程师负责。</w:t>
      </w:r>
    </w:p>
    <w:p w14:paraId="7B05DC93">
      <w:pPr>
        <w:spacing w:line="219" w:lineRule="auto"/>
        <w:ind w:left="481"/>
        <w:rPr>
          <w:rFonts w:ascii="宋体" w:hAnsi="宋体" w:eastAsia="宋体" w:cs="宋体"/>
          <w:color w:val="auto"/>
          <w:sz w:val="24"/>
          <w:szCs w:val="24"/>
          <w:highlight w:val="none"/>
        </w:rPr>
      </w:pPr>
      <w:r>
        <w:rPr>
          <w:rFonts w:ascii="宋体" w:hAnsi="宋体" w:eastAsia="宋体" w:cs="宋体"/>
          <w:color w:val="auto"/>
          <w:sz w:val="24"/>
          <w:szCs w:val="24"/>
          <w:highlight w:val="none"/>
        </w:rPr>
        <w:t>监理员在监理工程师或者总监理工程师授权</w:t>
      </w:r>
      <w:r>
        <w:rPr>
          <w:rFonts w:ascii="宋体" w:hAnsi="宋体" w:eastAsia="宋体" w:cs="宋体"/>
          <w:color w:val="auto"/>
          <w:spacing w:val="-1"/>
          <w:sz w:val="24"/>
          <w:szCs w:val="24"/>
          <w:highlight w:val="none"/>
        </w:rPr>
        <w:t>范围内从事监理辅助工作。</w:t>
      </w:r>
    </w:p>
    <w:p w14:paraId="5BA53F36">
      <w:pPr>
        <w:spacing w:before="183" w:line="358" w:lineRule="auto"/>
        <w:ind w:left="5" w:right="61" w:firstLine="49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1.6.6</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监理单位应当将项目监理机构及其人员名单、监理工程师和监理员的授权范围</w:t>
      </w:r>
      <w:r>
        <w:rPr>
          <w:rFonts w:ascii="宋体" w:hAnsi="宋体" w:eastAsia="宋体" w:cs="宋体"/>
          <w:color w:val="auto"/>
          <w:sz w:val="24"/>
          <w:szCs w:val="24"/>
          <w:highlight w:val="none"/>
        </w:rPr>
        <w:t>书面通知被监理单位。监理实施期间监理人员有</w:t>
      </w:r>
      <w:r>
        <w:rPr>
          <w:rFonts w:ascii="宋体" w:hAnsi="宋体" w:eastAsia="宋体" w:cs="宋体"/>
          <w:color w:val="auto"/>
          <w:spacing w:val="-1"/>
          <w:sz w:val="24"/>
          <w:szCs w:val="24"/>
          <w:highlight w:val="none"/>
        </w:rPr>
        <w:t>变化的，应当及时通知被监理单位。</w:t>
      </w:r>
    </w:p>
    <w:p w14:paraId="202DFA09">
      <w:pPr>
        <w:spacing w:before="1" w:line="359" w:lineRule="auto"/>
        <w:ind w:right="61" w:firstLine="498"/>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1.6.7</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监理单位应当按照监理合同，组织设计单位等进行现场设计交底，核查并签发</w:t>
      </w:r>
      <w:r>
        <w:rPr>
          <w:rFonts w:ascii="宋体" w:hAnsi="宋体" w:eastAsia="宋体" w:cs="宋体"/>
          <w:color w:val="auto"/>
          <w:spacing w:val="3"/>
          <w:sz w:val="24"/>
          <w:szCs w:val="24"/>
          <w:highlight w:val="none"/>
        </w:rPr>
        <w:t>施工图。未经总监理工程师签字的施工图不得用于施工</w:t>
      </w:r>
      <w:r>
        <w:rPr>
          <w:rFonts w:ascii="宋体" w:hAnsi="宋体" w:eastAsia="宋体" w:cs="宋体"/>
          <w:color w:val="auto"/>
          <w:spacing w:val="2"/>
          <w:sz w:val="24"/>
          <w:szCs w:val="24"/>
          <w:highlight w:val="none"/>
        </w:rPr>
        <w:t>。监理单位不得修改工程设计文</w:t>
      </w:r>
      <w:r>
        <w:rPr>
          <w:rFonts w:ascii="宋体" w:hAnsi="宋体" w:eastAsia="宋体" w:cs="宋体"/>
          <w:color w:val="auto"/>
          <w:spacing w:val="-5"/>
          <w:sz w:val="24"/>
          <w:szCs w:val="24"/>
          <w:highlight w:val="none"/>
        </w:rPr>
        <w:t>件。</w:t>
      </w:r>
    </w:p>
    <w:p w14:paraId="40E96D77">
      <w:pPr>
        <w:spacing w:line="359" w:lineRule="auto"/>
        <w:ind w:left="1" w:right="61" w:firstLine="49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1.6.8</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监理单位应当按照监理规范的要求，采取旁站、巡视、跟踪检测和平行检测等</w:t>
      </w:r>
      <w:r>
        <w:rPr>
          <w:rFonts w:ascii="宋体" w:hAnsi="宋体" w:eastAsia="宋体" w:cs="宋体"/>
          <w:color w:val="auto"/>
          <w:spacing w:val="-1"/>
          <w:sz w:val="24"/>
          <w:szCs w:val="24"/>
          <w:highlight w:val="none"/>
        </w:rPr>
        <w:t>方式实施监理，发现问题应当及时纠正、报告。</w:t>
      </w:r>
    </w:p>
    <w:p w14:paraId="07563483">
      <w:pPr>
        <w:spacing w:line="359" w:lineRule="auto"/>
        <w:ind w:firstLine="497"/>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1.6.9</w:t>
      </w:r>
      <w:r>
        <w:rPr>
          <w:rFonts w:ascii="宋体" w:hAnsi="宋体" w:eastAsia="宋体" w:cs="宋体"/>
          <w:color w:val="auto"/>
          <w:spacing w:val="-41"/>
          <w:sz w:val="24"/>
          <w:szCs w:val="24"/>
          <w:highlight w:val="none"/>
        </w:rPr>
        <w:t xml:space="preserve"> </w:t>
      </w:r>
      <w:r>
        <w:rPr>
          <w:rFonts w:ascii="宋体" w:hAnsi="宋体" w:eastAsia="宋体" w:cs="宋体"/>
          <w:color w:val="auto"/>
          <w:spacing w:val="-3"/>
          <w:sz w:val="24"/>
          <w:szCs w:val="24"/>
          <w:highlight w:val="none"/>
        </w:rPr>
        <w:t>监理单位不得与被监理单位串通，弄虚作假、降低工程或者设备质量。监理人</w:t>
      </w:r>
      <w:r>
        <w:rPr>
          <w:rFonts w:ascii="宋体" w:hAnsi="宋体" w:eastAsia="宋体" w:cs="宋体"/>
          <w:color w:val="auto"/>
          <w:spacing w:val="3"/>
          <w:sz w:val="24"/>
          <w:szCs w:val="24"/>
          <w:highlight w:val="none"/>
        </w:rPr>
        <w:t>员不得将质量检测或者检验不合格的建设工程、建筑</w:t>
      </w:r>
      <w:r>
        <w:rPr>
          <w:rFonts w:ascii="宋体" w:hAnsi="宋体" w:eastAsia="宋体" w:cs="宋体"/>
          <w:color w:val="auto"/>
          <w:spacing w:val="2"/>
          <w:sz w:val="24"/>
          <w:szCs w:val="24"/>
          <w:highlight w:val="none"/>
        </w:rPr>
        <w:t>材料、建筑构配件和设备按照合格</w:t>
      </w:r>
      <w:r>
        <w:rPr>
          <w:rFonts w:ascii="宋体" w:hAnsi="宋体" w:eastAsia="宋体" w:cs="宋体"/>
          <w:color w:val="auto"/>
          <w:spacing w:val="-2"/>
          <w:sz w:val="24"/>
          <w:szCs w:val="24"/>
          <w:highlight w:val="none"/>
        </w:rPr>
        <w:t>签字。未经监理工程师签字，建筑材料、建筑构配件和设备不得在工程上使用或者安装，</w:t>
      </w:r>
      <w:r>
        <w:rPr>
          <w:rFonts w:ascii="宋体" w:hAnsi="宋体" w:eastAsia="宋体" w:cs="宋体"/>
          <w:color w:val="auto"/>
          <w:spacing w:val="-1"/>
          <w:sz w:val="24"/>
          <w:szCs w:val="24"/>
          <w:highlight w:val="none"/>
        </w:rPr>
        <w:t>不得进行下一道工序的施工。</w:t>
      </w:r>
    </w:p>
    <w:p w14:paraId="2FCD51AC">
      <w:pPr>
        <w:spacing w:line="359" w:lineRule="auto"/>
        <w:ind w:right="61" w:firstLine="498"/>
        <w:rPr>
          <w:rFonts w:ascii="宋体" w:hAnsi="宋体" w:eastAsia="宋体" w:cs="宋体"/>
          <w:color w:val="auto"/>
          <w:sz w:val="24"/>
          <w:szCs w:val="24"/>
          <w:highlight w:val="none"/>
        </w:rPr>
      </w:pPr>
      <w:r>
        <w:rPr>
          <w:rFonts w:ascii="宋体" w:hAnsi="宋体" w:eastAsia="宋体" w:cs="宋体"/>
          <w:color w:val="auto"/>
          <w:sz w:val="24"/>
          <w:szCs w:val="24"/>
          <w:highlight w:val="none"/>
        </w:rPr>
        <w:t>1.6.10</w:t>
      </w:r>
      <w:r>
        <w:rPr>
          <w:rFonts w:ascii="宋体" w:hAnsi="宋体" w:eastAsia="宋体" w:cs="宋体"/>
          <w:color w:val="auto"/>
          <w:spacing w:val="-38"/>
          <w:sz w:val="24"/>
          <w:szCs w:val="24"/>
          <w:highlight w:val="none"/>
        </w:rPr>
        <w:t xml:space="preserve"> </w:t>
      </w:r>
      <w:r>
        <w:rPr>
          <w:rFonts w:ascii="宋体" w:hAnsi="宋体" w:eastAsia="宋体" w:cs="宋体"/>
          <w:color w:val="auto"/>
          <w:sz w:val="24"/>
          <w:szCs w:val="24"/>
          <w:highlight w:val="none"/>
        </w:rPr>
        <w:t>监理单位应当协助建设单位编制控制性总进度计划，审查被监理单位编制的</w:t>
      </w:r>
      <w:r>
        <w:rPr>
          <w:rFonts w:ascii="宋体" w:hAnsi="宋体" w:eastAsia="宋体" w:cs="宋体"/>
          <w:color w:val="auto"/>
          <w:spacing w:val="-1"/>
          <w:sz w:val="24"/>
          <w:szCs w:val="24"/>
          <w:highlight w:val="none"/>
        </w:rPr>
        <w:t>施工组织设计和进度计划，并督促被监理单位实施。</w:t>
      </w:r>
    </w:p>
    <w:p w14:paraId="28E5330A">
      <w:pPr>
        <w:spacing w:before="2" w:line="359" w:lineRule="auto"/>
        <w:ind w:right="61" w:firstLine="498"/>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1.6.11监理单位应当协助建设单位编制付款计划，审查被监理单位提交的资金流计</w:t>
      </w:r>
      <w:r>
        <w:rPr>
          <w:rFonts w:ascii="宋体" w:hAnsi="宋体" w:eastAsia="宋体" w:cs="宋体"/>
          <w:color w:val="auto"/>
          <w:spacing w:val="3"/>
          <w:sz w:val="24"/>
          <w:szCs w:val="24"/>
          <w:highlight w:val="none"/>
        </w:rPr>
        <w:t>划，按照合同约定核定工程量，签发付款凭证。未经总</w:t>
      </w:r>
      <w:r>
        <w:rPr>
          <w:rFonts w:ascii="宋体" w:hAnsi="宋体" w:eastAsia="宋体" w:cs="宋体"/>
          <w:color w:val="auto"/>
          <w:spacing w:val="2"/>
          <w:sz w:val="24"/>
          <w:szCs w:val="24"/>
          <w:highlight w:val="none"/>
        </w:rPr>
        <w:t>监理工程师签字，建设单位不得</w:t>
      </w:r>
      <w:r>
        <w:rPr>
          <w:rFonts w:ascii="宋体" w:hAnsi="宋体" w:eastAsia="宋体" w:cs="宋体"/>
          <w:color w:val="auto"/>
          <w:spacing w:val="-2"/>
          <w:sz w:val="24"/>
          <w:szCs w:val="24"/>
          <w:highlight w:val="none"/>
        </w:rPr>
        <w:t>支付工程款。</w:t>
      </w:r>
    </w:p>
    <w:p w14:paraId="686C729F">
      <w:pPr>
        <w:spacing w:before="4" w:line="359" w:lineRule="auto"/>
        <w:ind w:left="1" w:right="111" w:firstLine="496"/>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1.6.12</w:t>
      </w:r>
      <w:r>
        <w:rPr>
          <w:rFonts w:ascii="宋体" w:hAnsi="宋体" w:eastAsia="宋体" w:cs="宋体"/>
          <w:color w:val="auto"/>
          <w:spacing w:val="-50"/>
          <w:sz w:val="24"/>
          <w:szCs w:val="24"/>
          <w:highlight w:val="none"/>
        </w:rPr>
        <w:t xml:space="preserve"> </w:t>
      </w:r>
      <w:r>
        <w:rPr>
          <w:rFonts w:ascii="宋体" w:hAnsi="宋体" w:eastAsia="宋体" w:cs="宋体"/>
          <w:color w:val="auto"/>
          <w:spacing w:val="-1"/>
          <w:sz w:val="24"/>
          <w:szCs w:val="24"/>
          <w:highlight w:val="none"/>
        </w:rPr>
        <w:t>监理单位应当审查被监理单位提出的安全技术措施、专项施工方案和环境保</w:t>
      </w:r>
      <w:r>
        <w:rPr>
          <w:rFonts w:ascii="宋体" w:hAnsi="宋体" w:eastAsia="宋体" w:cs="宋体"/>
          <w:color w:val="auto"/>
          <w:sz w:val="24"/>
          <w:szCs w:val="24"/>
          <w:highlight w:val="none"/>
        </w:rPr>
        <w:t>护措施是否符合工程建设强制性标准和环境保护要求，并监</w:t>
      </w:r>
      <w:r>
        <w:rPr>
          <w:rFonts w:ascii="宋体" w:hAnsi="宋体" w:eastAsia="宋体" w:cs="宋体"/>
          <w:color w:val="auto"/>
          <w:spacing w:val="-1"/>
          <w:sz w:val="24"/>
          <w:szCs w:val="24"/>
          <w:highlight w:val="none"/>
        </w:rPr>
        <w:t>督实施。监理单位在实施监</w:t>
      </w:r>
      <w:r>
        <w:rPr>
          <w:rFonts w:ascii="宋体" w:hAnsi="宋体" w:eastAsia="宋体" w:cs="宋体"/>
          <w:color w:val="auto"/>
          <w:sz w:val="24"/>
          <w:szCs w:val="24"/>
          <w:highlight w:val="none"/>
        </w:rPr>
        <w:t>理过程中，发现存在安全事故隐患的，应当要求被监理单位</w:t>
      </w:r>
      <w:r>
        <w:rPr>
          <w:rFonts w:ascii="宋体" w:hAnsi="宋体" w:eastAsia="宋体" w:cs="宋体"/>
          <w:color w:val="auto"/>
          <w:spacing w:val="-1"/>
          <w:sz w:val="24"/>
          <w:szCs w:val="24"/>
          <w:highlight w:val="none"/>
        </w:rPr>
        <w:t>整改；情况严重的，应当要</w:t>
      </w:r>
      <w:r>
        <w:rPr>
          <w:rFonts w:ascii="宋体" w:hAnsi="宋体" w:eastAsia="宋体" w:cs="宋体"/>
          <w:color w:val="auto"/>
          <w:sz w:val="24"/>
          <w:szCs w:val="24"/>
          <w:highlight w:val="none"/>
        </w:rPr>
        <w:t>求被监理单位暂时停止施工，并及时报告建设单位。被监理</w:t>
      </w:r>
      <w:r>
        <w:rPr>
          <w:rFonts w:ascii="宋体" w:hAnsi="宋体" w:eastAsia="宋体" w:cs="宋体"/>
          <w:color w:val="auto"/>
          <w:spacing w:val="-1"/>
          <w:sz w:val="24"/>
          <w:szCs w:val="24"/>
          <w:highlight w:val="none"/>
        </w:rPr>
        <w:t>单位拒不整改或者不停止施工的，监理单位应当及时向有关行政主管部门或建设单位报告。</w:t>
      </w:r>
    </w:p>
    <w:p w14:paraId="3E2640DF">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center"/>
        <w:textAlignment w:val="auto"/>
        <w:rPr>
          <w:rFonts w:ascii="宋体" w:hAnsi="宋体" w:cs="宋体"/>
          <w:b/>
          <w:color w:val="auto"/>
          <w:sz w:val="28"/>
          <w:szCs w:val="28"/>
          <w:highlight w:val="none"/>
        </w:rPr>
      </w:pPr>
      <w:r>
        <w:rPr>
          <w:rFonts w:hint="eastAsia" w:ascii="宋体" w:hAnsi="宋体" w:cs="宋体"/>
          <w:b/>
          <w:color w:val="auto"/>
          <w:sz w:val="28"/>
          <w:szCs w:val="28"/>
          <w:highlight w:val="none"/>
        </w:rPr>
        <w:t>第三部分  投标须知</w:t>
      </w:r>
    </w:p>
    <w:p w14:paraId="615592D7">
      <w:pPr>
        <w:pStyle w:val="15"/>
        <w:spacing w:line="240" w:lineRule="auto"/>
        <w:ind w:firstLine="200" w:firstLineChars="200"/>
        <w:rPr>
          <w:rFonts w:ascii="宋体" w:hAnsi="宋体" w:cs="宋体"/>
          <w:color w:val="auto"/>
          <w:sz w:val="10"/>
          <w:szCs w:val="10"/>
          <w:highlight w:val="none"/>
        </w:rPr>
      </w:pPr>
    </w:p>
    <w:p w14:paraId="24FB45A0">
      <w:pPr>
        <w:pStyle w:val="15"/>
        <w:spacing w:line="500" w:lineRule="exact"/>
        <w:ind w:firstLine="482" w:firstLineChars="200"/>
        <w:rPr>
          <w:rFonts w:ascii="宋体" w:hAnsi="宋体" w:cs="宋体"/>
          <w:b/>
          <w:color w:val="auto"/>
          <w:szCs w:val="24"/>
          <w:highlight w:val="none"/>
        </w:rPr>
      </w:pPr>
      <w:r>
        <w:rPr>
          <w:rFonts w:hint="eastAsia" w:ascii="宋体" w:hAnsi="宋体" w:cs="宋体"/>
          <w:b/>
          <w:color w:val="auto"/>
          <w:szCs w:val="24"/>
          <w:highlight w:val="none"/>
        </w:rPr>
        <w:t>2.1 工程综合说明</w:t>
      </w:r>
    </w:p>
    <w:p w14:paraId="1B62B22C">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详见第二部分</w:t>
      </w:r>
    </w:p>
    <w:p w14:paraId="087C6D86">
      <w:pPr>
        <w:pStyle w:val="15"/>
        <w:spacing w:line="500" w:lineRule="exact"/>
        <w:ind w:firstLine="482" w:firstLineChars="200"/>
        <w:rPr>
          <w:rFonts w:ascii="宋体" w:hAnsi="宋体" w:cs="宋体"/>
          <w:b/>
          <w:color w:val="auto"/>
          <w:szCs w:val="24"/>
          <w:highlight w:val="none"/>
        </w:rPr>
      </w:pPr>
      <w:r>
        <w:rPr>
          <w:rFonts w:hint="eastAsia" w:ascii="宋体" w:hAnsi="宋体" w:cs="宋体"/>
          <w:b/>
          <w:color w:val="auto"/>
          <w:szCs w:val="24"/>
          <w:highlight w:val="none"/>
        </w:rPr>
        <w:t>2.2招标方式</w:t>
      </w:r>
    </w:p>
    <w:p w14:paraId="3DCCC2D7">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为了加强对</w:t>
      </w:r>
      <w:r>
        <w:rPr>
          <w:rFonts w:hint="eastAsia" w:ascii="宋体" w:hAnsi="宋体"/>
          <w:color w:val="auto"/>
          <w:sz w:val="24"/>
          <w:szCs w:val="24"/>
          <w:highlight w:val="none"/>
          <w:u w:val="single"/>
          <w:lang w:eastAsia="zh-CN"/>
        </w:rPr>
        <w:t>铜陵江城置业有限公司</w:t>
      </w:r>
      <w:r>
        <w:rPr>
          <w:rFonts w:hint="eastAsia" w:ascii="宋体" w:hAnsi="宋体" w:cs="宋体"/>
          <w:color w:val="auto"/>
          <w:sz w:val="24"/>
          <w:szCs w:val="24"/>
          <w:highlight w:val="none"/>
        </w:rPr>
        <w:t>的管理，提高工程建设水平和工程质量，有效控制工程投资和建设工期，充分发挥投资效益，根据《中华人民共和国招标投标法》等有关规定。经工程建设单位研究决定，采取公开招标方式，按照“公平、公正、科学、择优”的原则选择工程监理单位。</w:t>
      </w:r>
    </w:p>
    <w:p w14:paraId="4293585A">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2.3本次招标范围、内容和概况</w:t>
      </w:r>
    </w:p>
    <w:p w14:paraId="48B653D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详见第二部分</w:t>
      </w:r>
    </w:p>
    <w:p w14:paraId="441DAB84">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2.4合格的投标人</w:t>
      </w:r>
    </w:p>
    <w:p w14:paraId="210F60F7">
      <w:pPr>
        <w:spacing w:line="500" w:lineRule="exact"/>
        <w:ind w:firstLine="544" w:firstLineChars="227"/>
        <w:rPr>
          <w:rFonts w:ascii="宋体" w:hAnsi="宋体" w:cs="宋体"/>
          <w:color w:val="auto"/>
          <w:sz w:val="24"/>
          <w:szCs w:val="24"/>
          <w:highlight w:val="none"/>
        </w:rPr>
      </w:pPr>
      <w:r>
        <w:rPr>
          <w:rFonts w:hint="eastAsia" w:ascii="宋体" w:hAnsi="宋体" w:cs="宋体"/>
          <w:color w:val="auto"/>
          <w:sz w:val="24"/>
          <w:szCs w:val="24"/>
          <w:highlight w:val="none"/>
        </w:rPr>
        <w:t>详见招标公告</w:t>
      </w:r>
    </w:p>
    <w:p w14:paraId="0F5CBD85">
      <w:pPr>
        <w:spacing w:line="500" w:lineRule="exact"/>
        <w:ind w:firstLine="547" w:firstLineChars="227"/>
        <w:rPr>
          <w:rFonts w:ascii="宋体" w:hAnsi="宋体" w:cs="宋体"/>
          <w:b/>
          <w:color w:val="auto"/>
          <w:sz w:val="24"/>
          <w:szCs w:val="24"/>
          <w:highlight w:val="none"/>
        </w:rPr>
      </w:pPr>
      <w:r>
        <w:rPr>
          <w:rFonts w:hint="eastAsia" w:ascii="宋体" w:hAnsi="宋体" w:cs="宋体"/>
          <w:b/>
          <w:color w:val="auto"/>
          <w:sz w:val="24"/>
          <w:szCs w:val="24"/>
          <w:highlight w:val="none"/>
        </w:rPr>
        <w:t>2.5投标范围及报价</w:t>
      </w:r>
    </w:p>
    <w:p w14:paraId="7C463264">
      <w:pPr>
        <w:spacing w:line="500" w:lineRule="exact"/>
        <w:ind w:firstLine="480" w:firstLineChars="200"/>
        <w:rPr>
          <w:color w:val="auto"/>
          <w:sz w:val="24"/>
          <w:szCs w:val="18"/>
          <w:highlight w:val="none"/>
        </w:rPr>
      </w:pPr>
      <w:r>
        <w:rPr>
          <w:rFonts w:hint="eastAsia" w:ascii="宋体" w:hAnsi="宋体" w:cs="宋体"/>
          <w:bCs/>
          <w:color w:val="auto"/>
          <w:sz w:val="24"/>
          <w:szCs w:val="24"/>
          <w:highlight w:val="none"/>
        </w:rPr>
        <w:t>2.5.1</w:t>
      </w:r>
      <w:r>
        <w:rPr>
          <w:rFonts w:hint="eastAsia" w:ascii="宋体" w:hAnsi="宋体"/>
          <w:color w:val="auto"/>
          <w:sz w:val="24"/>
          <w:szCs w:val="24"/>
          <w:highlight w:val="none"/>
          <w:u w:val="single"/>
          <w:lang w:eastAsia="zh-CN"/>
        </w:rPr>
        <w:t>铜官区露采商业综合楼改造提升工程（</w:t>
      </w:r>
      <w:r>
        <w:rPr>
          <w:rFonts w:hint="eastAsia" w:ascii="宋体" w:hAnsi="宋体"/>
          <w:color w:val="auto"/>
          <w:sz w:val="24"/>
          <w:szCs w:val="24"/>
          <w:highlight w:val="none"/>
          <w:u w:val="single"/>
          <w:lang w:val="en-US" w:eastAsia="zh-CN"/>
        </w:rPr>
        <w:t>改造提升、智能化</w:t>
      </w:r>
      <w:r>
        <w:rPr>
          <w:rFonts w:hint="eastAsia" w:ascii="宋体" w:hAnsi="宋体"/>
          <w:color w:val="auto"/>
          <w:sz w:val="24"/>
          <w:szCs w:val="24"/>
          <w:highlight w:val="none"/>
          <w:u w:val="single"/>
          <w:lang w:eastAsia="zh-CN"/>
        </w:rPr>
        <w:t>）监理服务</w:t>
      </w:r>
      <w:r>
        <w:rPr>
          <w:rFonts w:hint="eastAsia" w:ascii="宋体" w:hAnsi="宋体" w:cs="宋体"/>
          <w:color w:val="auto"/>
          <w:sz w:val="24"/>
          <w:szCs w:val="24"/>
          <w:highlight w:val="none"/>
          <w:u w:val="single"/>
        </w:rPr>
        <w:t>投标范围及报价详见招标公告</w:t>
      </w:r>
      <w:r>
        <w:rPr>
          <w:rFonts w:hint="eastAsia" w:ascii="宋体" w:hAnsi="宋体"/>
          <w:color w:val="auto"/>
          <w:sz w:val="24"/>
          <w:szCs w:val="24"/>
          <w:highlight w:val="none"/>
          <w:u w:val="none"/>
          <w:lang w:val="en-US" w:eastAsia="zh-CN"/>
        </w:rPr>
        <w:t>。</w:t>
      </w:r>
    </w:p>
    <w:p w14:paraId="78E5F109">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2.6招标文件</w:t>
      </w:r>
    </w:p>
    <w:p w14:paraId="4E85D873">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2.6.1招标文件的组成</w:t>
      </w:r>
    </w:p>
    <w:p w14:paraId="148CDB76">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（1）招标文件包括下列内容：</w:t>
      </w:r>
    </w:p>
    <w:p w14:paraId="76724EBE">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①本招标文件的全部内容；</w:t>
      </w:r>
    </w:p>
    <w:p w14:paraId="608AD808">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②本工程所有发出的答疑文件及书面通知。</w:t>
      </w:r>
    </w:p>
    <w:p w14:paraId="248FF344">
      <w:pPr>
        <w:spacing w:line="500" w:lineRule="exact"/>
        <w:ind w:firstLine="480" w:firstLineChars="200"/>
        <w:rPr>
          <w:rFonts w:ascii="宋体" w:hAnsi="宋体"/>
          <w:b/>
          <w:bCs/>
          <w:color w:val="auto"/>
          <w:sz w:val="24"/>
          <w:szCs w:val="24"/>
          <w:highlight w:val="none"/>
        </w:rPr>
      </w:pPr>
      <w:r>
        <w:rPr>
          <w:rFonts w:hint="eastAsia" w:ascii="宋体" w:hAnsi="宋体"/>
          <w:color w:val="auto"/>
          <w:sz w:val="24"/>
          <w:szCs w:val="24"/>
          <w:highlight w:val="none"/>
        </w:rPr>
        <w:t>（2）投标人获取招标文件后，应仔细检查招标文件的所有内容，如有残缺等问题应及时向招标人提出，否则，由此引起的后果由投标人自己承担。</w:t>
      </w:r>
      <w:r>
        <w:rPr>
          <w:rFonts w:hint="eastAsia" w:ascii="宋体" w:hAnsi="宋体"/>
          <w:b/>
          <w:bCs/>
          <w:color w:val="auto"/>
          <w:sz w:val="24"/>
          <w:szCs w:val="24"/>
          <w:highlight w:val="none"/>
        </w:rPr>
        <w:t>投标人同时应认真审阅招标文件中所有的事项、格式、条款和规范要求等，若投标人的投标文件没有按招标文件要求提交全部资料及自己理解产生的误差，或投标文件没有对招标文件做出实质性响应，其风险由投标人自行承担，并根据有关条款规定，该投标有可能被拒绝。</w:t>
      </w:r>
    </w:p>
    <w:p w14:paraId="43ACA95B">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2.6.2招标文件的澄清</w:t>
      </w:r>
    </w:p>
    <w:p w14:paraId="7151DDD1">
      <w:pPr>
        <w:spacing w:line="5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投标人若对招标文件有任何疑问，应在投标截止时间前三日向招标人提出澄清要求。招标文件的澄清将在招标公告发布网站公布，但不指明澄清问题的来源。所有潜在投标人均有义务自行查看该澄清内容。</w:t>
      </w:r>
    </w:p>
    <w:p w14:paraId="1CCC410E">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2.7招标文件的修改</w:t>
      </w:r>
    </w:p>
    <w:p w14:paraId="42B4D221">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2.7.1招标文件发出后，招标人可对招标文件进行必要的修改。</w:t>
      </w:r>
    </w:p>
    <w:p w14:paraId="51076ECE">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2.7.2 招标文件的修改将在招标公告发布网站发布，该修改内容作为招标文件的组成部分，具有约束作用。</w:t>
      </w:r>
    </w:p>
    <w:p w14:paraId="2D1C348F">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2.7.3当招标文件、招标文件的澄清、修改、补充等在同一内容的表述上不一致时，以最后发出的修改文件为准。</w:t>
      </w:r>
    </w:p>
    <w:p w14:paraId="555084F5">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2.7.4为使投标人在编制投标文件时有充分的时间对招标文件的澄清、修改、补充等内容进行研究，如果澄清的内容影响投标文件编制的，且发出时间距投标截止时间不足7天的，招标人将依法酌情延长投标截止时间，具体时间将在招标文件的修改、补充通知中予以明确。</w:t>
      </w:r>
    </w:p>
    <w:p w14:paraId="2E0388BF">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2.7.</w:t>
      </w:r>
      <w:r>
        <w:rPr>
          <w:rFonts w:hint="eastAsia" w:ascii="宋体" w:hAnsi="宋体" w:cs="宋体"/>
          <w:bCs/>
          <w:color w:val="auto"/>
          <w:sz w:val="24"/>
          <w:szCs w:val="24"/>
          <w:highlight w:val="none"/>
        </w:rPr>
        <w:t>5如果投标人在答疑时间截止前未对招标文件有关条款提出质疑，视为充分理解招标文件所有内容，一旦递交投标文件，则认为该投标人接受招标文件所有条款，不再接受对招标文件的异议或投诉。</w:t>
      </w:r>
    </w:p>
    <w:p w14:paraId="389B0486">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2.8招标文件的效力</w:t>
      </w:r>
    </w:p>
    <w:p w14:paraId="46CFBE8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招标文件是工程招标和投标的有效依据，也是中标后签定监理合同的依据，对招投标双方均具有约束力。凡不遵守招标文件规定的投标或对招标文件的实质性内容不响应者，将可能被拒绝或以无效标处理。</w:t>
      </w:r>
    </w:p>
    <w:p w14:paraId="2CA79425">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2.9投标文件主要内容</w:t>
      </w:r>
    </w:p>
    <w:p w14:paraId="068F03FA">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2.9.1法定代表人资格证明书（详见格式）</w:t>
      </w:r>
    </w:p>
    <w:p w14:paraId="3D7714B5">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2.9.2授权委托书（详见格式）</w:t>
      </w:r>
    </w:p>
    <w:p w14:paraId="3FB9A449">
      <w:pPr>
        <w:tabs>
          <w:tab w:val="left" w:pos="1467"/>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2.9.3投标函（详见格式）</w:t>
      </w:r>
    </w:p>
    <w:p w14:paraId="1F9206EA">
      <w:pPr>
        <w:spacing w:line="500" w:lineRule="exact"/>
        <w:ind w:left="560"/>
        <w:rPr>
          <w:rFonts w:ascii="宋体" w:hAnsi="宋体" w:cs="宋体"/>
          <w:color w:val="auto"/>
          <w:sz w:val="24"/>
          <w:szCs w:val="24"/>
          <w:highlight w:val="none"/>
        </w:rPr>
      </w:pPr>
      <w:r>
        <w:rPr>
          <w:rFonts w:hint="eastAsia" w:ascii="宋体" w:hAnsi="宋体" w:cs="宋体"/>
          <w:color w:val="auto"/>
          <w:sz w:val="24"/>
          <w:szCs w:val="24"/>
          <w:highlight w:val="none"/>
        </w:rPr>
        <w:t>2.9.4投标综合说明</w:t>
      </w:r>
    </w:p>
    <w:p w14:paraId="6456B63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简述本工程概要，列出监理班子成员、计划配备的检测设备、办公和交通工具一览表。</w:t>
      </w:r>
    </w:p>
    <w:p w14:paraId="6F0A4CD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简介本单位概况，营业执照（复印件）、企业资质证书（复印件）、开业时间、荣誉、资信情况、技术人员力量和技术设施、监理班子的组织机构和监理人员名单一览表（姓名、年龄、性别、专业、职称、监理培训、上岗证情况、监理业绩经历，附身份证复印件）何时可进场履行职责、检测设备、并确定驻地主要监理工程师的简历、资历证明、资质证书、职称证书等复印件。</w:t>
      </w:r>
    </w:p>
    <w:p w14:paraId="76CC4623">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2.9.5监理大纲</w:t>
      </w:r>
    </w:p>
    <w:p w14:paraId="6CA03DCB">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2.9.5.1监理工作概况。</w:t>
      </w:r>
    </w:p>
    <w:p w14:paraId="4D17CF15">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2.9.5.2监理工作内容和依据。</w:t>
      </w:r>
    </w:p>
    <w:p w14:paraId="18A61F8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2.9.5.3控制工程质量、进度、投资、安全文明施工及合同管理的主要手段和措施。</w:t>
      </w:r>
    </w:p>
    <w:p w14:paraId="338A5F38">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2.9.5.4监理工作计划（应包括监理程序、职权、进场到岗计划等）。</w:t>
      </w:r>
    </w:p>
    <w:p w14:paraId="0AE7409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2.9.5.5监理人员工作守则。</w:t>
      </w:r>
    </w:p>
    <w:p w14:paraId="28073EB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2.9.5.6对工程施工的难点、要点和关键部分的阐明及监理实施意见。</w:t>
      </w:r>
    </w:p>
    <w:p w14:paraId="5A29FB7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2.9.5.7对本工程的其他建议、要求。</w:t>
      </w:r>
    </w:p>
    <w:p w14:paraId="70D2C913">
      <w:pPr>
        <w:tabs>
          <w:tab w:val="left" w:pos="0"/>
        </w:tabs>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2.9.6监理费报价</w:t>
      </w:r>
    </w:p>
    <w:p w14:paraId="6173C74A">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2.9.7监理人员从业证书、清单表及在投标企业的自开标之日前半年内连续三个月的社保缴纳证明复印件（加盖投标单位公章）。</w:t>
      </w:r>
    </w:p>
    <w:p w14:paraId="5AA1A85D">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2.9.8承诺企业至投标截止之日都未在被限制投标期间内的承诺函</w:t>
      </w:r>
    </w:p>
    <w:p w14:paraId="30596777">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2.9.</w:t>
      </w:r>
      <w:r>
        <w:rPr>
          <w:rFonts w:hint="eastAsia" w:ascii="宋体" w:hAnsi="宋体" w:cs="宋体"/>
          <w:bCs/>
          <w:color w:val="auto"/>
          <w:sz w:val="24"/>
          <w:szCs w:val="24"/>
          <w:highlight w:val="none"/>
          <w:lang w:val="en-US" w:eastAsia="zh-CN"/>
        </w:rPr>
        <w:t>9</w:t>
      </w:r>
      <w:r>
        <w:rPr>
          <w:rFonts w:hint="eastAsia" w:ascii="宋体" w:hAnsi="宋体" w:cs="宋体"/>
          <w:bCs/>
          <w:color w:val="auto"/>
          <w:sz w:val="24"/>
          <w:szCs w:val="24"/>
          <w:highlight w:val="none"/>
        </w:rPr>
        <w:t>诚信承诺书</w:t>
      </w:r>
    </w:p>
    <w:p w14:paraId="0DBF7D7D">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2.9.1</w:t>
      </w:r>
      <w:r>
        <w:rPr>
          <w:rFonts w:hint="eastAsia" w:ascii="宋体" w:hAnsi="宋体" w:cs="宋体"/>
          <w:bCs/>
          <w:color w:val="auto"/>
          <w:sz w:val="24"/>
          <w:szCs w:val="24"/>
          <w:highlight w:val="none"/>
          <w:lang w:val="en-US" w:eastAsia="zh-CN"/>
        </w:rPr>
        <w:t>0</w:t>
      </w:r>
      <w:r>
        <w:rPr>
          <w:rFonts w:hint="eastAsia" w:ascii="宋体" w:hAnsi="宋体" w:cs="宋体"/>
          <w:bCs/>
          <w:color w:val="auto"/>
          <w:sz w:val="24"/>
          <w:szCs w:val="24"/>
          <w:highlight w:val="none"/>
        </w:rPr>
        <w:t>其他评审所需材料</w:t>
      </w:r>
    </w:p>
    <w:p w14:paraId="5D2CCBEB">
      <w:pPr>
        <w:spacing w:line="500" w:lineRule="exact"/>
        <w:ind w:firstLine="482" w:firstLineChars="200"/>
        <w:rPr>
          <w:rFonts w:ascii="宋体" w:hAnsi="宋体" w:cs="宋体"/>
          <w:color w:val="auto"/>
          <w:sz w:val="24"/>
          <w:szCs w:val="24"/>
          <w:highlight w:val="none"/>
        </w:rPr>
      </w:pPr>
      <w:r>
        <w:rPr>
          <w:rFonts w:hint="eastAsia" w:ascii="宋体" w:hAnsi="宋体" w:cs="宋体"/>
          <w:b/>
          <w:color w:val="auto"/>
          <w:sz w:val="24"/>
          <w:szCs w:val="24"/>
          <w:highlight w:val="none"/>
        </w:rPr>
        <w:t>2.10投标报价</w:t>
      </w:r>
    </w:p>
    <w:p w14:paraId="643EC8F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2.10.1投标人应根据本招标文件和招标人所提供的资料及监理范围、内容，按照国家有关取费标准，结合自身监理能力和监理力量的投入进行竞争报价。</w:t>
      </w:r>
    </w:p>
    <w:p w14:paraId="173B08AE">
      <w:pPr>
        <w:pStyle w:val="15"/>
        <w:spacing w:line="500" w:lineRule="exact"/>
        <w:ind w:firstLine="480" w:firstLineChars="200"/>
        <w:rPr>
          <w:rFonts w:ascii="宋体" w:hAnsi="宋体" w:cs="宋体"/>
          <w:color w:val="auto"/>
          <w:szCs w:val="24"/>
          <w:highlight w:val="none"/>
        </w:rPr>
      </w:pPr>
      <w:r>
        <w:rPr>
          <w:rFonts w:hint="eastAsia" w:ascii="宋体" w:hAnsi="宋体" w:cs="宋体"/>
          <w:color w:val="auto"/>
          <w:szCs w:val="24"/>
          <w:highlight w:val="none"/>
        </w:rPr>
        <w:t>2.10.2监理费报价应包括为完成本监理工程服务内容可能发生的各项费用，如工作、生活、交通、通讯、设备（仪器）、劳力、利润、税收等以及所有有关的管理成本。</w:t>
      </w:r>
    </w:p>
    <w:p w14:paraId="031E32F1">
      <w:pPr>
        <w:pStyle w:val="15"/>
        <w:spacing w:line="500" w:lineRule="exact"/>
        <w:ind w:firstLine="480" w:firstLineChars="200"/>
        <w:rPr>
          <w:rFonts w:ascii="宋体" w:hAnsi="宋体" w:cs="宋体"/>
          <w:color w:val="auto"/>
          <w:szCs w:val="24"/>
          <w:highlight w:val="none"/>
        </w:rPr>
      </w:pPr>
      <w:r>
        <w:rPr>
          <w:rFonts w:hint="eastAsia" w:ascii="宋体" w:hAnsi="宋体" w:cs="宋体"/>
          <w:color w:val="auto"/>
          <w:szCs w:val="24"/>
          <w:highlight w:val="none"/>
        </w:rPr>
        <w:t>2.10.3 投标人应认真填报（附件）中的所有内容，有关报价的详细说明可在投标书的相应条款中予以说明。对没有填报的费用，招标人将不予支付，并认为此项费用已包含在报价表中的其他单价和合价中。</w:t>
      </w:r>
    </w:p>
    <w:p w14:paraId="56CA0778">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2.10.4 监理费</w:t>
      </w:r>
      <w:r>
        <w:rPr>
          <w:rFonts w:hint="eastAsia" w:ascii="宋体" w:hAnsi="宋体" w:cs="宋体"/>
          <w:color w:val="auto"/>
          <w:sz w:val="24"/>
          <w:szCs w:val="24"/>
          <w:highlight w:val="none"/>
          <w:lang w:val="en-US" w:eastAsia="zh-CN"/>
        </w:rPr>
        <w:t>综合单价</w:t>
      </w:r>
      <w:r>
        <w:rPr>
          <w:rFonts w:hint="eastAsia" w:ascii="宋体" w:hAnsi="宋体" w:cs="宋体"/>
          <w:color w:val="auto"/>
          <w:sz w:val="24"/>
          <w:szCs w:val="24"/>
          <w:highlight w:val="none"/>
        </w:rPr>
        <w:t>最终报价除合同条款另有规定外，不得进行调整。</w:t>
      </w:r>
    </w:p>
    <w:p w14:paraId="121A17A1">
      <w:pPr>
        <w:spacing w:line="500" w:lineRule="exact"/>
        <w:ind w:firstLine="482" w:firstLineChars="200"/>
        <w:rPr>
          <w:rFonts w:ascii="宋体" w:hAnsi="宋体" w:cs="宋体"/>
          <w:color w:val="auto"/>
          <w:sz w:val="24"/>
          <w:szCs w:val="24"/>
          <w:highlight w:val="none"/>
        </w:rPr>
      </w:pPr>
      <w:r>
        <w:rPr>
          <w:rFonts w:hint="eastAsia" w:ascii="宋体" w:hAnsi="宋体" w:cs="宋体"/>
          <w:b/>
          <w:color w:val="auto"/>
          <w:sz w:val="24"/>
          <w:szCs w:val="24"/>
          <w:highlight w:val="none"/>
        </w:rPr>
        <w:t>2.11投标保证金（</w:t>
      </w:r>
      <w:r>
        <w:rPr>
          <w:rFonts w:hint="eastAsia" w:ascii="宋体" w:hAnsi="宋体" w:cs="宋体"/>
          <w:b/>
          <w:color w:val="auto"/>
          <w:sz w:val="24"/>
          <w:szCs w:val="24"/>
          <w:highlight w:val="none"/>
          <w:lang w:val="en-US" w:eastAsia="zh-CN"/>
        </w:rPr>
        <w:t>见招标公告要求</w:t>
      </w:r>
      <w:r>
        <w:rPr>
          <w:rFonts w:hint="eastAsia" w:ascii="宋体" w:hAnsi="宋体" w:cs="宋体"/>
          <w:b/>
          <w:color w:val="auto"/>
          <w:sz w:val="24"/>
          <w:szCs w:val="24"/>
          <w:highlight w:val="none"/>
        </w:rPr>
        <w:t>）</w:t>
      </w:r>
    </w:p>
    <w:p w14:paraId="00544D44">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2.11.1投标人应在投标须知前附表规定的时间前提交一笔不少于前附表规定数额的投标担保，并作为其投标文件的一部分。</w:t>
      </w:r>
    </w:p>
    <w:p w14:paraId="2E343101">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2.11.2投标人应按要求提交投标担保，保证金的形式见投标须知前附表，接受投标保证金的银行及账号详见招标公告。任何未按规定提交投标保证金的投标人，将被视为自动放弃投标资格。</w:t>
      </w:r>
    </w:p>
    <w:p w14:paraId="05F66F31">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2.11.3对于未能按要求提交投标担保的投标，招标人将视为不响应招标文件而予以拒绝。</w:t>
      </w:r>
    </w:p>
    <w:p w14:paraId="6DD376DF">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2.11.4非预中标人的投标保证金将在中标候选人公示后五日内退还；排名第一的预中标候选人的投标保证金将在合同签订后五日内退还，其他预中标候选人的保证金在中标公告后的五日内退还。（均不计息）。</w:t>
      </w:r>
    </w:p>
    <w:p w14:paraId="6A2B80AA">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因项目开标时间推迟的原因，已转账缴入指定账户的投标保证金，投标人不得以撤回投标等理由要求在前款规定的时间前退还。</w:t>
      </w:r>
    </w:p>
    <w:p w14:paraId="032FABCF">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2.11.5投标人发生下列情况之一的，投标担保金将不予退还：</w:t>
      </w:r>
    </w:p>
    <w:p w14:paraId="7913E897">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2.11.5.1投标人在投标截止后至投标有效期内撤销投标文件的；</w:t>
      </w:r>
    </w:p>
    <w:p w14:paraId="3CF42BB5">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2.11.5.2中标人未能在规定期限内按照招标文件内容提交履约担保或签订合同协议的；</w:t>
      </w:r>
    </w:p>
    <w:p w14:paraId="27C81B79">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2.11.5.3投标人在招标活动中存在违规和违法行为的；</w:t>
      </w:r>
    </w:p>
    <w:p w14:paraId="1E325A98">
      <w:pPr>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2.11.5.4投标人中标后因中标人自身原因放弃中标资格的；</w:t>
      </w:r>
    </w:p>
    <w:p w14:paraId="2ABDD8B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2.11.5.5其它法定或招标文件约定不予退还投标保证金的情形。</w:t>
      </w:r>
    </w:p>
    <w:p w14:paraId="580B53DF">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2.12投标文件的编制与递交</w:t>
      </w:r>
    </w:p>
    <w:p w14:paraId="6C6DA976">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2.12.1.1投标人应按投标须知前附表规定的份数和招标文件规定的格式，编制并提交投标文件。投标授权委托人递交投标文件时，应手持授权委托书，被委托人身份证，并在登记表中签字确认后，递交的投标文件方才有效。</w:t>
      </w:r>
    </w:p>
    <w:p w14:paraId="3F9FD7A2">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2.12.1.2使用纸质的投标文件需采用打印或使用不褪色的蓝、黑墨水笔书写，字迹应清晰易于辨认，并应在投标文件封面的清楚地注明“正本”</w:t>
      </w:r>
      <w:r>
        <w:rPr>
          <w:rFonts w:hint="eastAsia" w:hAnsi="宋体" w:cs="宋体"/>
          <w:color w:val="auto"/>
          <w:sz w:val="24"/>
          <w:szCs w:val="24"/>
          <w:highlight w:val="none"/>
          <w:lang w:val="en-US" w:eastAsia="zh-CN"/>
        </w:rPr>
        <w:t>或“副本”</w:t>
      </w:r>
      <w:r>
        <w:rPr>
          <w:rFonts w:hint="eastAsia" w:hAnsi="宋体" w:cs="宋体"/>
          <w:color w:val="auto"/>
          <w:sz w:val="24"/>
          <w:szCs w:val="24"/>
          <w:highlight w:val="none"/>
        </w:rPr>
        <w:t>。投标文件“正本”</w:t>
      </w:r>
      <w:r>
        <w:rPr>
          <w:rFonts w:hint="eastAsia" w:hAnsi="宋体" w:cs="宋体"/>
          <w:color w:val="auto"/>
          <w:sz w:val="24"/>
          <w:szCs w:val="24"/>
          <w:highlight w:val="none"/>
          <w:lang w:val="en-US" w:eastAsia="zh-CN"/>
        </w:rPr>
        <w:t>或“副本”</w:t>
      </w:r>
      <w:r>
        <w:rPr>
          <w:rFonts w:hint="eastAsia" w:hAnsi="宋体" w:cs="宋体"/>
          <w:color w:val="auto"/>
          <w:sz w:val="24"/>
          <w:szCs w:val="24"/>
          <w:highlight w:val="none"/>
        </w:rPr>
        <w:t>字样须使用不能擦去的黑色墨迹打印或书写。</w:t>
      </w:r>
    </w:p>
    <w:p w14:paraId="3E6B403E">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2.12.2报价文件及投标文件封面、投标函、投标报价表均应加盖投标人公章并经法定代表人或其委托代理人签字或加盖印章。由委托代理人签字或盖章的在投标文件中须同时提交投标文件签署授权委托书。投标文件签署授权委托书格式、签字、盖章及内容均应符合招标文件要求，否则投标文件签署授权委托书无效。</w:t>
      </w:r>
    </w:p>
    <w:p w14:paraId="6714BF61">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2.12.3投标人按照本招标文件的规定对其投标文件相关内容签署盖章后，其投标文件所有内容均视为确认，对投标人起约束作用。</w:t>
      </w:r>
    </w:p>
    <w:p w14:paraId="54C31571">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2.12.4 除投标人对错误处须修改外，全套纸质投标文件应无涂改或行间插字和增删。如有修改，修改处应由投标人加盖投标人的法人印章或由投标文件签字人签字或盖章。投标文件应尽量避免以涂改及行间插字方式进行修改，若投标文件存在涂改及行间插字，招标人不承担任何可能因此而造成的辨识错误。</w:t>
      </w:r>
    </w:p>
    <w:p w14:paraId="52EFA087">
      <w:pPr>
        <w:pStyle w:val="14"/>
        <w:spacing w:line="500" w:lineRule="exact"/>
        <w:ind w:firstLine="480" w:firstLineChars="200"/>
        <w:rPr>
          <w:rFonts w:hAnsi="宋体" w:cs="宋体"/>
          <w:color w:val="auto"/>
          <w:sz w:val="24"/>
          <w:szCs w:val="24"/>
          <w:highlight w:val="none"/>
        </w:rPr>
      </w:pPr>
      <w:r>
        <w:rPr>
          <w:rFonts w:hint="eastAsia" w:hAnsi="宋体" w:cs="宋体"/>
          <w:color w:val="auto"/>
          <w:sz w:val="24"/>
          <w:szCs w:val="24"/>
          <w:highlight w:val="none"/>
        </w:rPr>
        <w:t>2.12.5纸质投标文件建议双面打印（不作为废标条件）。</w:t>
      </w:r>
    </w:p>
    <w:p w14:paraId="1986176B">
      <w:pPr>
        <w:pStyle w:val="14"/>
        <w:spacing w:line="500" w:lineRule="exact"/>
        <w:ind w:firstLine="482" w:firstLineChars="200"/>
        <w:rPr>
          <w:rFonts w:hAnsi="宋体" w:cs="宋体"/>
          <w:b/>
          <w:bCs/>
          <w:color w:val="auto"/>
          <w:sz w:val="24"/>
          <w:szCs w:val="24"/>
          <w:highlight w:val="none"/>
        </w:rPr>
      </w:pPr>
      <w:r>
        <w:rPr>
          <w:rFonts w:hint="eastAsia" w:hAnsi="宋体" w:cs="宋体"/>
          <w:b/>
          <w:bCs/>
          <w:color w:val="auto"/>
          <w:sz w:val="24"/>
          <w:szCs w:val="24"/>
          <w:highlight w:val="none"/>
        </w:rPr>
        <w:t>2.12.6投标文件的密封未响应招标文件要求的或逾期送达指定地点的，招标代理人应拒绝接受此投标文件。</w:t>
      </w:r>
    </w:p>
    <w:p w14:paraId="20640D09">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2.13投标文件的效力</w:t>
      </w:r>
    </w:p>
    <w:p w14:paraId="7508DE85">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2.13.1 投标文件自投标截止之日起90天内有效（中标签约者，有效期随合同）。在此有效期内，投标文件中的全部承诺和条款对投标人具有约束力。投标人不得自行修改或拒绝接受已经确认的承诺和条款，更不得撤回投标文件。否则按违约处理，招标人可立即扣罚投标保证金，并取消投标或中标资格。</w:t>
      </w:r>
    </w:p>
    <w:p w14:paraId="68EB15DA">
      <w:pPr>
        <w:spacing w:line="50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2.13.2在投标截止时间前投标人可对已递交的投标文件进行适当修改和补充，投标文件的修改补充函应按规定进行密封并加盖单位印章和法定代表人或其全权代表印章（签字），递交至投标须知前附表所指定地点。投标截止后递交的补充修改或声明一概不予受理。</w:t>
      </w:r>
    </w:p>
    <w:p w14:paraId="615CFFD2">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2.14开标</w:t>
      </w:r>
    </w:p>
    <w:p w14:paraId="0CF7BF6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2.14.1</w:t>
      </w:r>
      <w:r>
        <w:rPr>
          <w:rFonts w:hint="eastAsia" w:asciiTheme="minorEastAsia" w:hAnsiTheme="minorEastAsia" w:eastAsiaTheme="minorEastAsia" w:cstheme="minorEastAsia"/>
          <w:bCs/>
          <w:color w:val="auto"/>
          <w:sz w:val="24"/>
          <w:szCs w:val="24"/>
          <w:highlight w:val="none"/>
        </w:rPr>
        <w:t>招标人按招标公开所规定的时间和地点开标，并邀请所有投标人代表参加，</w:t>
      </w:r>
      <w:r>
        <w:rPr>
          <w:rFonts w:hint="eastAsia" w:asciiTheme="minorEastAsia" w:hAnsiTheme="minorEastAsia" w:eastAsiaTheme="minorEastAsia" w:cstheme="minorEastAsia"/>
          <w:b/>
          <w:bCs/>
          <w:color w:val="auto"/>
          <w:sz w:val="24"/>
          <w:szCs w:val="24"/>
          <w:highlight w:val="none"/>
        </w:rPr>
        <w:t>未出席开标会议不影响投标人的投标文件效力。采用纸质投标文件投标的，投标单位代表递交纸质投标文件时，应出示法人授权书(格式参照招标文件提供的格式，法定代表人到场的不需要)、有效身份证件原件</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电子证件无效</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，以便证明其身份。投标单位代表在回答专家的质询或对开评标活动现场提出异议的，也应按照上述要求出具相关授权和身份证明文件。</w:t>
      </w:r>
    </w:p>
    <w:p w14:paraId="78EF4905">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2.14.2</w:t>
      </w:r>
      <w:r>
        <w:rPr>
          <w:rFonts w:hint="eastAsia" w:asciiTheme="minorEastAsia" w:hAnsiTheme="minorEastAsia" w:eastAsiaTheme="minorEastAsia" w:cstheme="minorEastAsia"/>
          <w:bCs/>
          <w:color w:val="auto"/>
          <w:sz w:val="24"/>
          <w:szCs w:val="24"/>
          <w:highlight w:val="none"/>
        </w:rPr>
        <w:t>按规定提交合格的撤回通知的投标文件不予开封，并退回给投标人；按投标须知第</w:t>
      </w:r>
      <w:r>
        <w:rPr>
          <w:rFonts w:hint="eastAsia" w:asciiTheme="minorEastAsia" w:hAnsiTheme="minorEastAsia" w:eastAsiaTheme="minorEastAsia" w:cstheme="minorEastAsia"/>
          <w:color w:val="auto"/>
          <w:sz w:val="24"/>
          <w:szCs w:val="24"/>
          <w:highlight w:val="none"/>
        </w:rPr>
        <w:t>2.14.5</w:t>
      </w:r>
      <w:r>
        <w:rPr>
          <w:rFonts w:hint="eastAsia" w:asciiTheme="minorEastAsia" w:hAnsiTheme="minorEastAsia" w:eastAsiaTheme="minorEastAsia" w:cstheme="minorEastAsia"/>
          <w:bCs/>
          <w:color w:val="auto"/>
          <w:sz w:val="24"/>
          <w:szCs w:val="24"/>
          <w:highlight w:val="none"/>
        </w:rPr>
        <w:t>规定确定为无效的投标文件，不予送交评审。</w:t>
      </w:r>
    </w:p>
    <w:p w14:paraId="1C1D336F">
      <w:pPr>
        <w:tabs>
          <w:tab w:val="left" w:pos="360"/>
          <w:tab w:val="left" w:pos="540"/>
          <w:tab w:val="left" w:pos="900"/>
          <w:tab w:val="left" w:pos="1440"/>
        </w:tabs>
        <w:spacing w:line="360" w:lineRule="auto"/>
        <w:ind w:firstLine="568"/>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2.14.3</w:t>
      </w:r>
      <w:r>
        <w:rPr>
          <w:rFonts w:hint="eastAsia" w:asciiTheme="minorEastAsia" w:hAnsiTheme="minorEastAsia" w:eastAsiaTheme="minorEastAsia" w:cstheme="minorEastAsia"/>
          <w:b/>
          <w:bCs/>
          <w:color w:val="auto"/>
          <w:sz w:val="24"/>
          <w:szCs w:val="24"/>
          <w:highlight w:val="none"/>
        </w:rPr>
        <w:t>投标人必须保证其标书中所有资料的真实性。若有弄虚作假及其它违法违规行为的，由相关部门依照相关法律法规进行处理，记入不良行为记录。不论其是否为中标候选人，均不对已评审的结果重新计算，是中标候选人的，取消其中标资格。</w:t>
      </w:r>
    </w:p>
    <w:p w14:paraId="581C8D1A">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2.14.4</w:t>
      </w:r>
      <w:r>
        <w:rPr>
          <w:rFonts w:hint="eastAsia" w:asciiTheme="minorEastAsia" w:hAnsiTheme="minorEastAsia" w:eastAsiaTheme="minorEastAsia" w:cstheme="minorEastAsia"/>
          <w:bCs/>
          <w:color w:val="auto"/>
          <w:sz w:val="24"/>
          <w:szCs w:val="24"/>
          <w:highlight w:val="none"/>
        </w:rPr>
        <w:t>开标由招标人或招标代理机构主持，主持人并按下列程序进行：</w:t>
      </w:r>
    </w:p>
    <w:p w14:paraId="692AC70A">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（1）开标时间、地点和人员，招标人在规定的投标截止时间（开标时间）和地点公开开标，投标人须准时参加。 </w:t>
      </w:r>
    </w:p>
    <w:p w14:paraId="4C7CD988">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bCs/>
          <w:color w:val="auto"/>
          <w:sz w:val="24"/>
          <w:szCs w:val="24"/>
          <w:highlight w:val="none"/>
        </w:rPr>
        <w:t>由主持人宣布开标会开始、同时宣布开标人、唱标人、记录人和监督人员及到场的相关人员；</w:t>
      </w:r>
    </w:p>
    <w:p w14:paraId="0E4BF0EB">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bCs/>
          <w:color w:val="auto"/>
          <w:sz w:val="24"/>
          <w:szCs w:val="24"/>
          <w:highlight w:val="none"/>
        </w:rPr>
        <w:t>宣读至投标截止时间前接收到递交的有效投标文件的份数及投标单位名称，并现场核实到场投标人身份证明；</w:t>
      </w:r>
    </w:p>
    <w:p w14:paraId="620CA1F4">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bCs/>
          <w:color w:val="auto"/>
          <w:sz w:val="24"/>
          <w:szCs w:val="24"/>
          <w:highlight w:val="none"/>
        </w:rPr>
        <w:t>招标人和投标人的代表共同检查各投标书密封情况，对密封情况有异议的应当场提出，标书开启后不再接受任何对标书密封情况的质疑和投诉；</w:t>
      </w:r>
    </w:p>
    <w:p w14:paraId="59F51671">
      <w:pPr>
        <w:tabs>
          <w:tab w:val="left" w:pos="360"/>
          <w:tab w:val="left" w:pos="540"/>
          <w:tab w:val="left" w:pos="900"/>
          <w:tab w:val="left" w:pos="1440"/>
        </w:tabs>
        <w:spacing w:line="360" w:lineRule="auto"/>
        <w:ind w:firstLine="568"/>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b/>
          <w:bCs/>
          <w:color w:val="auto"/>
          <w:sz w:val="24"/>
          <w:szCs w:val="24"/>
          <w:highlight w:val="none"/>
        </w:rPr>
        <w:t>招标人和投标人的代表共同检查各投标书密封情况，对密封情况有异议的应当场提出，标书开启后不再接受任何对标书密封情况的异议和投诉。</w:t>
      </w:r>
    </w:p>
    <w:p w14:paraId="47F48A40">
      <w:pPr>
        <w:tabs>
          <w:tab w:val="left" w:pos="360"/>
          <w:tab w:val="left" w:pos="540"/>
          <w:tab w:val="left" w:pos="900"/>
          <w:tab w:val="left" w:pos="1440"/>
        </w:tabs>
        <w:spacing w:line="360" w:lineRule="auto"/>
        <w:ind w:firstLine="568"/>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b/>
          <w:bCs/>
          <w:color w:val="auto"/>
          <w:sz w:val="24"/>
          <w:szCs w:val="24"/>
          <w:highlight w:val="none"/>
        </w:rPr>
        <w:t>告知所有投标人，任何对开标期间的异议应当在开标现场提出，开标结束后，不再接受任何对开标的异议和投诉；</w:t>
      </w:r>
    </w:p>
    <w:p w14:paraId="73A3B52E">
      <w:pPr>
        <w:tabs>
          <w:tab w:val="left" w:pos="360"/>
          <w:tab w:val="left" w:pos="540"/>
          <w:tab w:val="left" w:pos="900"/>
          <w:tab w:val="left" w:pos="1440"/>
        </w:tabs>
        <w:spacing w:line="360" w:lineRule="auto"/>
        <w:ind w:firstLine="568"/>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bCs/>
          <w:color w:val="auto"/>
          <w:sz w:val="24"/>
          <w:szCs w:val="24"/>
          <w:highlight w:val="none"/>
        </w:rPr>
        <w:t>主持人按投标书送达时间逆顺序进行开标、唱标。各投标单位对开标情况记录进行签字确认；</w:t>
      </w:r>
    </w:p>
    <w:p w14:paraId="6D139402">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r>
        <w:rPr>
          <w:rFonts w:hint="eastAsia" w:asciiTheme="minorEastAsia" w:hAnsiTheme="minorEastAsia" w:eastAsiaTheme="minorEastAsia" w:cstheme="minorEastAsia"/>
          <w:bCs/>
          <w:color w:val="auto"/>
          <w:sz w:val="24"/>
          <w:szCs w:val="24"/>
          <w:highlight w:val="none"/>
        </w:rPr>
        <w:t>开标结束。</w:t>
      </w:r>
    </w:p>
    <w:p w14:paraId="5915EDC4">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2.14.5</w:t>
      </w:r>
      <w:r>
        <w:rPr>
          <w:rFonts w:hint="eastAsia" w:asciiTheme="minorEastAsia" w:hAnsiTheme="minorEastAsia" w:eastAsiaTheme="minorEastAsia" w:cstheme="minorEastAsia"/>
          <w:b/>
          <w:bCs/>
          <w:color w:val="auto"/>
          <w:sz w:val="24"/>
          <w:szCs w:val="24"/>
          <w:highlight w:val="none"/>
        </w:rPr>
        <w:t>投标文件有下列情形之一的，招标人将不予接受</w:t>
      </w:r>
      <w:r>
        <w:rPr>
          <w:rFonts w:hint="eastAsia" w:asciiTheme="minorEastAsia" w:hAnsiTheme="minorEastAsia" w:eastAsiaTheme="minorEastAsia" w:cstheme="minorEastAsia"/>
          <w:color w:val="auto"/>
          <w:sz w:val="24"/>
          <w:szCs w:val="24"/>
          <w:highlight w:val="none"/>
        </w:rPr>
        <w:t>：</w:t>
      </w:r>
    </w:p>
    <w:p w14:paraId="3416B142">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（1）逾期送达的或者未送达指定地点的； </w:t>
      </w:r>
    </w:p>
    <w:p w14:paraId="59345AE2">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（2）纸质投标文件，未按招标文件要求包装、密封</w:t>
      </w:r>
      <w:r>
        <w:rPr>
          <w:rFonts w:hint="eastAsia" w:asciiTheme="minorEastAsia" w:hAnsiTheme="minorEastAsia" w:eastAsiaTheme="minorEastAsia" w:cstheme="minorEastAsia"/>
          <w:bCs/>
          <w:color w:val="auto"/>
          <w:sz w:val="24"/>
          <w:szCs w:val="24"/>
          <w:highlight w:val="none"/>
        </w:rPr>
        <w:t>及加写标记</w:t>
      </w:r>
      <w:r>
        <w:rPr>
          <w:rFonts w:hint="eastAsia" w:asciiTheme="minorEastAsia" w:hAnsiTheme="minorEastAsia" w:eastAsiaTheme="minorEastAsia" w:cstheme="minorEastAsia"/>
          <w:color w:val="auto"/>
          <w:sz w:val="24"/>
          <w:szCs w:val="24"/>
          <w:highlight w:val="none"/>
        </w:rPr>
        <w:t>的。</w:t>
      </w:r>
    </w:p>
    <w:p w14:paraId="15318FFA">
      <w:pPr>
        <w:tabs>
          <w:tab w:val="left" w:pos="360"/>
          <w:tab w:val="left" w:pos="540"/>
          <w:tab w:val="left" w:pos="900"/>
          <w:tab w:val="left" w:pos="1440"/>
        </w:tabs>
        <w:spacing w:line="360" w:lineRule="auto"/>
        <w:ind w:firstLine="568"/>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（3）投标人未按要求递交投标文件的。</w:t>
      </w:r>
    </w:p>
    <w:p w14:paraId="490CE8EB">
      <w:pPr>
        <w:spacing w:line="500" w:lineRule="exact"/>
        <w:ind w:firstLine="480" w:firstLineChars="200"/>
        <w:rPr>
          <w:rFonts w:ascii="宋体" w:hAnsi="宋体" w:cs="宋体"/>
          <w:bCs/>
          <w:color w:val="auto"/>
          <w:sz w:val="28"/>
          <w:szCs w:val="28"/>
          <w:highlight w:val="none"/>
        </w:rPr>
      </w:pPr>
      <w:r>
        <w:rPr>
          <w:rFonts w:hint="eastAsia" w:asciiTheme="minorEastAsia" w:hAnsiTheme="minorEastAsia" w:eastAsiaTheme="minorEastAsia" w:cstheme="minorEastAsia"/>
          <w:color w:val="auto"/>
          <w:sz w:val="24"/>
          <w:szCs w:val="24"/>
          <w:highlight w:val="none"/>
        </w:rPr>
        <w:t>2.14.6</w:t>
      </w:r>
      <w:r>
        <w:rPr>
          <w:rFonts w:hint="eastAsia" w:asciiTheme="minorEastAsia" w:hAnsiTheme="minorEastAsia" w:eastAsiaTheme="minorEastAsia" w:cstheme="minorEastAsia"/>
          <w:bCs/>
          <w:color w:val="auto"/>
          <w:sz w:val="24"/>
          <w:szCs w:val="24"/>
          <w:highlight w:val="none"/>
        </w:rPr>
        <w:t>招标人或其委托的招标代理机构对开标过程进行记录并在评标报告中填写所有投标单位的报价、工期及项目负责人信息，如有纸质资料应妥善保管并存档备查。</w:t>
      </w:r>
    </w:p>
    <w:p w14:paraId="710C8151">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2.15评标</w:t>
      </w:r>
    </w:p>
    <w:p w14:paraId="4A231774">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2.15.1评标委员会与评标</w:t>
      </w:r>
    </w:p>
    <w:p w14:paraId="1037589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（1）评标委员会由招标人依法组建，评标活动由评标委员会负责。</w:t>
      </w:r>
    </w:p>
    <w:p w14:paraId="3DF4B168">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（2）开标结束后，开始评标，评标在保密的环境中进行。</w:t>
      </w:r>
    </w:p>
    <w:p w14:paraId="6061B203">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2.15.2评标过程的保密</w:t>
      </w:r>
    </w:p>
    <w:p w14:paraId="1FC10B5F">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（1）开标后，直至授予中标人合同为止，凡属于对投标文件的审查、澄清、评价和比较的有关资料以及中标候选人的推荐情况，与评标有关的其他任何情况均严格保密。</w:t>
      </w:r>
    </w:p>
    <w:p w14:paraId="20E6813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在投标文件的评审和比较、中标候选人推荐以及授予合同的过程中，投标人向招标人和评标委员会施加影响的任何行为，都将会导致其投标被拒绝。</w:t>
      </w:r>
    </w:p>
    <w:p w14:paraId="33250A1C">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（3）中标人确定后，招标人不对未中标人就评标过程以及未能中标原因作出任何解释。未中标人不得向评标委员会组成人员或其他有关人员询问评标过程的情况和材料。</w:t>
      </w:r>
    </w:p>
    <w:p w14:paraId="0BFF2428">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2.15.3投标文件的澄清</w:t>
      </w:r>
    </w:p>
    <w:p w14:paraId="55B68B40">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为有助于投标文件的审查、评价和比较，评标委员会可以以书面形式要求投标人对投标文件含义不明确的内容作必要的澄清或说明，投标人应采用书面形式进行澄清或说明，但不得超出投标文件的范围或改变投标文件的实质性内容。凡属于评标委员会在评标中发现的计算错误进行核实的修改不在此列。</w:t>
      </w:r>
    </w:p>
    <w:p w14:paraId="2D0383E0">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（2）有下列情形之一的，在评标现场评标时，评标委员会可以要求投标人当场作出书面说明并提供相关材料：</w:t>
      </w:r>
    </w:p>
    <w:p w14:paraId="0F1C6D7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①设有</w:t>
      </w:r>
      <w:r>
        <w:rPr>
          <w:rFonts w:hint="eastAsia" w:asciiTheme="minorEastAsia" w:hAnsiTheme="minorEastAsia" w:eastAsiaTheme="minorEastAsia" w:cstheme="minorEastAsia"/>
          <w:bCs/>
          <w:color w:val="auto"/>
          <w:sz w:val="24"/>
          <w:szCs w:val="24"/>
          <w:highlight w:val="none"/>
        </w:rPr>
        <w:t>最高投标限价（费率）</w:t>
      </w:r>
      <w:r>
        <w:rPr>
          <w:rFonts w:hint="eastAsia" w:asciiTheme="minorEastAsia" w:hAnsiTheme="minorEastAsia" w:eastAsiaTheme="minorEastAsia" w:cstheme="minorEastAsia"/>
          <w:color w:val="auto"/>
          <w:sz w:val="24"/>
          <w:szCs w:val="24"/>
          <w:highlight w:val="none"/>
        </w:rPr>
        <w:t>的，投标报价低于</w:t>
      </w:r>
      <w:r>
        <w:rPr>
          <w:rFonts w:hint="eastAsia" w:asciiTheme="minorEastAsia" w:hAnsiTheme="minorEastAsia" w:eastAsiaTheme="minorEastAsia" w:cstheme="minorEastAsia"/>
          <w:bCs/>
          <w:color w:val="auto"/>
          <w:sz w:val="24"/>
          <w:szCs w:val="24"/>
          <w:highlight w:val="none"/>
        </w:rPr>
        <w:t>最高投标限价（费率）</w:t>
      </w:r>
      <w:r>
        <w:rPr>
          <w:rFonts w:hint="eastAsia" w:asciiTheme="minorEastAsia" w:hAnsiTheme="minorEastAsia" w:eastAsiaTheme="minorEastAsia" w:cstheme="minorEastAsia"/>
          <w:color w:val="auto"/>
          <w:sz w:val="24"/>
          <w:szCs w:val="24"/>
          <w:highlight w:val="none"/>
        </w:rPr>
        <w:t>合理幅度的；</w:t>
      </w:r>
    </w:p>
    <w:p w14:paraId="56AB4C6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②不设最高投标限价（费率）的，投标报价明显低于其他投标报价</w:t>
      </w:r>
      <w:r>
        <w:rPr>
          <w:rFonts w:hint="eastAsia" w:asciiTheme="minorEastAsia" w:hAnsiTheme="minorEastAsia" w:eastAsiaTheme="minorEastAsia" w:cstheme="minorEastAsia"/>
          <w:bCs/>
          <w:color w:val="auto"/>
          <w:sz w:val="24"/>
          <w:szCs w:val="24"/>
          <w:highlight w:val="none"/>
        </w:rPr>
        <w:t>（费率）</w:t>
      </w:r>
      <w:r>
        <w:rPr>
          <w:rFonts w:hint="eastAsia" w:asciiTheme="minorEastAsia" w:hAnsiTheme="minorEastAsia" w:eastAsiaTheme="minorEastAsia" w:cstheme="minorEastAsia"/>
          <w:color w:val="auto"/>
          <w:sz w:val="24"/>
          <w:szCs w:val="24"/>
          <w:highlight w:val="none"/>
        </w:rPr>
        <w:t>，有可能低于其企业成本的。</w:t>
      </w:r>
    </w:p>
    <w:p w14:paraId="2747020C">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2.15.4投标文件的评审程序</w:t>
      </w:r>
    </w:p>
    <w:p w14:paraId="06AF61C0">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2.15.4.1评标委员会应当根据招标文件有关规定，审查并逐项列出投标文件的全部投标偏差。投标偏差分重大偏差和细微偏差。</w:t>
      </w:r>
    </w:p>
    <w:p w14:paraId="1414305A">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2.15.4.2投标偏差的界定和评审</w:t>
      </w:r>
    </w:p>
    <w:p w14:paraId="46E9A18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（1）重大偏差的认定，投标文件有下列情形之一的，属于重大偏差，由评标委员会评审后按废标处理：</w:t>
      </w:r>
    </w:p>
    <w:p w14:paraId="1D52C897">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①未按招标文件中要求提供相关资格审查材料或提供的材料不符合要求的。</w:t>
      </w:r>
    </w:p>
    <w:p w14:paraId="7AFC396C">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w:t>
      </w:r>
      <w:r>
        <w:rPr>
          <w:rFonts w:hint="eastAsia" w:asciiTheme="minorEastAsia" w:hAnsiTheme="minorEastAsia" w:eastAsiaTheme="minorEastAsia" w:cstheme="minorEastAsia"/>
          <w:bCs/>
          <w:color w:val="auto"/>
          <w:sz w:val="24"/>
          <w:szCs w:val="24"/>
          <w:highlight w:val="none"/>
        </w:rPr>
        <w:t>投标文件封面、投标函、附录、投标书未加盖投标人的企业印章、企业法定代表人或其授权的委托代理人签字或盖章的。企业法定代表人授权的委托代理人没有合法、有效的委托书。</w:t>
      </w:r>
    </w:p>
    <w:p w14:paraId="77A2E04D">
      <w:pPr>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rPr>
        <w:t>③</w:t>
      </w:r>
      <w:r>
        <w:rPr>
          <w:rFonts w:hint="eastAsia" w:asciiTheme="minorEastAsia" w:hAnsiTheme="minorEastAsia" w:eastAsiaTheme="minorEastAsia" w:cstheme="minorEastAsia"/>
          <w:bCs/>
          <w:color w:val="auto"/>
          <w:sz w:val="24"/>
          <w:szCs w:val="24"/>
          <w:highlight w:val="none"/>
        </w:rPr>
        <w:t>未按规定的格式填写，实质性内容不全或关键字迹模糊、无法辨认的。</w:t>
      </w:r>
    </w:p>
    <w:p w14:paraId="78BAFE82">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④投标人递交两份或多份内容不同的投标文件，或在一份投标文件中对同一招标项目有两个或多个报价，且未声明哪一个有效的。按招标文件规定提交备选投标方案的除外。</w:t>
      </w:r>
    </w:p>
    <w:p w14:paraId="10FA42BD">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⑤投标文件明显不符合招标文件规定的报价、服务期、质量标准、技术规格、方案评审标准或其它实质性要求。</w:t>
      </w:r>
    </w:p>
    <w:p w14:paraId="23E34CA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⑥未按招标文件要求提交投标保证金的。</w:t>
      </w:r>
    </w:p>
    <w:p w14:paraId="746FE501">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⑦投标文件的投标书未按要求加盖印章的，经评标委员会认定属于重大偏差的。</w:t>
      </w:r>
    </w:p>
    <w:p w14:paraId="43606A92">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⑧投标文件中的其它重大偏差（包括缺项，漏项）：</w:t>
      </w:r>
    </w:p>
    <w:p w14:paraId="764607EA">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1）投标报价高于最高投标限价（费率）的。</w:t>
      </w:r>
    </w:p>
    <w:p w14:paraId="0DD4E1C5">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2）投标人拒不按照要求对投标文件进行澄清、说明、补正的，或评标委员根据招标文件的规定对投标文件的计算错误进行修正后，投标人不接受修正后的投标报价的。</w:t>
      </w:r>
    </w:p>
    <w:p w14:paraId="34AB4EF8">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3）法律、法规规定的其它情形。</w:t>
      </w:r>
    </w:p>
    <w:p w14:paraId="0898D645">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细微偏差的认定：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28894E90">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投标文件的澄清：投标文件需澄清、说明或者补正的(包括补正投标报价)以及投标文件存在细微偏差需要补正的，评标委员会应当以书面形式要求投标人进行书面澄清、说明、补正或确认，细微偏差的修正将由评委进行评审，其投标人的法定代表人或其委托代理人应签字认可。</w:t>
      </w:r>
    </w:p>
    <w:p w14:paraId="03B2962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（4）如果投标文件实质上不响应招标文件的各项要求，评标委员会将予以拒绝，并且不允许投标人通过修改或撤销其不符合要求的差异或保留，使之成为具有响应性的投标。</w:t>
      </w:r>
    </w:p>
    <w:p w14:paraId="564071C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（5）经审查符合招标文件要求的有效投标文件，由评标委员会进行详细评审、比较。</w:t>
      </w:r>
    </w:p>
    <w:p w14:paraId="3CD5362D">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（6）评委对界定为细微偏差的应做相应调整，投标人应现场书面接受调整内容。</w:t>
      </w:r>
    </w:p>
    <w:p w14:paraId="2570CD3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2.15.5投标人的最终投标报价</w:t>
      </w:r>
    </w:p>
    <w:p w14:paraId="40067EA3">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按照本招标文件的规定进行澄清、补正后的投标报价经投标人的法定代表人或其委托代理人确认后即为该投标人的最终投标报价。投标人一旦中标，此报价即为中标价。</w:t>
      </w:r>
    </w:p>
    <w:p w14:paraId="5C271D7A">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2.15.6投标文件的评审、比较和否决</w:t>
      </w:r>
    </w:p>
    <w:p w14:paraId="215DE6B0">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（1）评标委员会将按照本须知第2.15.4条规定，仅对在实质上响应招标文件要求的投标文件进行评估和比较。</w:t>
      </w:r>
    </w:p>
    <w:p w14:paraId="577953D6">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 在评审过程中,评标委员会可以书面形式要求投标人就投标文件中含义不明确的内容进行书面说明并提供相关材料。</w:t>
      </w:r>
    </w:p>
    <w:p w14:paraId="5321CB2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（3）评标委员会依据招标文件规定的评标标准和方法，对合格投标文件分别进行评审和比较，提出书面评标报告并推荐的中标候选人。</w:t>
      </w:r>
    </w:p>
    <w:p w14:paraId="7069B645">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（4）招标人根据评标委员会提出的书面评标报告和推荐的中标候选人，依据国家和地方现行法规确定中标人。</w:t>
      </w:r>
    </w:p>
    <w:p w14:paraId="19065EA1">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（5）评标委员会经评审，认为所有投标都不符合招标文件要求的，可以否决所有投标。所有投标被否决后，招标人应当依法重新招标。</w:t>
      </w:r>
    </w:p>
    <w:p w14:paraId="149C8A0D">
      <w:pPr>
        <w:spacing w:line="360" w:lineRule="auto"/>
        <w:ind w:firstLine="482" w:firstLineChars="200"/>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2.16定标</w:t>
      </w:r>
    </w:p>
    <w:p w14:paraId="3E28A025">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根据评标委员会评议、评分结果，得分最高的投标人将做为第一中标候选人，以此类推，评标委员会将推荐有排序的</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名中标候选人名单。</w:t>
      </w:r>
      <w:r>
        <w:rPr>
          <w:rFonts w:hint="eastAsia" w:asciiTheme="minorEastAsia" w:hAnsiTheme="minorEastAsia" w:eastAsiaTheme="minorEastAsia" w:cstheme="minorEastAsia"/>
          <w:color w:val="auto"/>
          <w:sz w:val="24"/>
          <w:szCs w:val="24"/>
          <w:highlight w:val="none"/>
          <w:lang w:val="en-US" w:eastAsia="zh-CN"/>
        </w:rPr>
        <w:t>经公示无异议后</w:t>
      </w:r>
      <w:r>
        <w:rPr>
          <w:rFonts w:hint="eastAsia" w:asciiTheme="minorEastAsia" w:hAnsiTheme="minorEastAsia" w:eastAsiaTheme="minorEastAsia" w:cstheme="minorEastAsia"/>
          <w:color w:val="auto"/>
          <w:sz w:val="24"/>
          <w:szCs w:val="24"/>
          <w:highlight w:val="none"/>
        </w:rPr>
        <w:t>，向中标人发放中标通知书，并通知未中标人（见中标公示）。</w:t>
      </w:r>
    </w:p>
    <w:p w14:paraId="0E57406A">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2.16.1 招标人对投标结果不负责解释，也不保证最低报价者中标。</w:t>
      </w:r>
    </w:p>
    <w:p w14:paraId="270142C9">
      <w:pPr>
        <w:spacing w:line="500" w:lineRule="exact"/>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2.16.2在招投标过程中，投标人对招标人施加影响的任何行为，都将导致取消投标或中标资格。</w:t>
      </w:r>
    </w:p>
    <w:p w14:paraId="5563036B">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2.17合同签订（签约）</w:t>
      </w:r>
    </w:p>
    <w:p w14:paraId="50D8B077">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2.17.1签订监理合同：</w:t>
      </w:r>
    </w:p>
    <w:p w14:paraId="0F4E7F9A">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中标人自接到中标通知书起30天内，应与招标人签订本工程监理合同。监理合同必须根据国家有关经济民法典、省、市工程监理有关条例及招标文件、投标文件的要求、承诺及中标结果签订。投标人若不遵守招标文件和投标书的要约、承诺而拒签合同，招标人可取消其中标权，扣罚全部投标保证金，给招标人造成损失的还应承担赔偿责任。</w:t>
      </w:r>
    </w:p>
    <w:p w14:paraId="1C8BD89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2.17.2合同经招标人和中标人法定代表人或双方授权代理人签字后生效。</w:t>
      </w:r>
    </w:p>
    <w:p w14:paraId="2477A89C">
      <w:pPr>
        <w:spacing w:line="5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2.17.3签署监理委托合同协议书前，中标人应按合同规定向招标人提交履约保证金。</w:t>
      </w:r>
    </w:p>
    <w:p w14:paraId="1D0B89DF">
      <w:pPr>
        <w:spacing w:line="500" w:lineRule="exact"/>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2.18招标结束</w:t>
      </w:r>
    </w:p>
    <w:p w14:paraId="3D98A96E">
      <w:pPr>
        <w:pStyle w:val="15"/>
        <w:spacing w:line="500" w:lineRule="exact"/>
        <w:ind w:firstLine="480" w:firstLineChars="200"/>
        <w:rPr>
          <w:rFonts w:ascii="宋体" w:hAnsi="宋体" w:cs="宋体"/>
          <w:color w:val="auto"/>
          <w:szCs w:val="24"/>
          <w:highlight w:val="none"/>
        </w:rPr>
      </w:pPr>
      <w:r>
        <w:rPr>
          <w:rFonts w:hint="eastAsia" w:ascii="宋体" w:hAnsi="宋体" w:cs="宋体"/>
          <w:color w:val="auto"/>
          <w:szCs w:val="24"/>
          <w:highlight w:val="none"/>
        </w:rPr>
        <w:t>2.18.1中标人与招标人签订工程监理委托合同并按规定交纳了履约保证金后即为招标结束。</w:t>
      </w:r>
    </w:p>
    <w:p w14:paraId="09F97557">
      <w:pPr>
        <w:pStyle w:val="15"/>
        <w:spacing w:line="500" w:lineRule="exact"/>
        <w:ind w:firstLine="480" w:firstLineChars="200"/>
        <w:rPr>
          <w:rFonts w:ascii="宋体" w:hAnsi="宋体" w:cs="宋体"/>
          <w:color w:val="auto"/>
          <w:szCs w:val="24"/>
          <w:highlight w:val="none"/>
        </w:rPr>
      </w:pPr>
      <w:r>
        <w:rPr>
          <w:rFonts w:hint="eastAsia" w:ascii="宋体" w:hAnsi="宋体" w:cs="宋体"/>
          <w:color w:val="auto"/>
          <w:szCs w:val="24"/>
          <w:highlight w:val="none"/>
        </w:rPr>
        <w:t>2.18.2 招标人与中标人签订工程监理委托合同后5日内，应当退还中标人的投标保证金。（在投标过程中所发生的一切费用，均由投标人自行承担，投标书恕不退还。）</w:t>
      </w:r>
    </w:p>
    <w:p w14:paraId="563E7512">
      <w:pPr>
        <w:spacing w:line="500" w:lineRule="exact"/>
        <w:ind w:firstLine="480" w:firstLineChars="200"/>
        <w:jc w:val="center"/>
        <w:rPr>
          <w:rFonts w:hint="eastAsia" w:ascii="宋体" w:hAnsi="宋体" w:cs="宋体"/>
          <w:b/>
          <w:color w:val="auto"/>
          <w:sz w:val="28"/>
          <w:szCs w:val="28"/>
          <w:highlight w:val="none"/>
        </w:rPr>
      </w:pPr>
      <w:r>
        <w:rPr>
          <w:rFonts w:hint="eastAsia" w:ascii="宋体" w:hAnsi="宋体" w:cs="宋体"/>
          <w:color w:val="auto"/>
          <w:sz w:val="24"/>
          <w:szCs w:val="24"/>
          <w:highlight w:val="none"/>
        </w:rPr>
        <w:br w:type="page"/>
      </w:r>
      <w:r>
        <w:rPr>
          <w:rFonts w:hint="eastAsia" w:ascii="宋体" w:hAnsi="宋体" w:cs="宋体"/>
          <w:b/>
          <w:color w:val="auto"/>
          <w:sz w:val="28"/>
          <w:szCs w:val="28"/>
          <w:highlight w:val="none"/>
        </w:rPr>
        <w:t>第四部分    合同条款</w:t>
      </w:r>
    </w:p>
    <w:p w14:paraId="2CC646A2">
      <w:pPr>
        <w:spacing w:line="360" w:lineRule="auto"/>
        <w:ind w:firstLine="460" w:firstLineChars="192"/>
        <w:jc w:val="center"/>
        <w:rPr>
          <w:rFonts w:hint="eastAsia" w:ascii="宋体" w:hAnsi="宋体"/>
          <w:color w:val="auto"/>
          <w:sz w:val="24"/>
          <w:szCs w:val="24"/>
          <w:highlight w:val="none"/>
        </w:rPr>
      </w:pPr>
      <w:r>
        <w:rPr>
          <w:rFonts w:hint="eastAsia" w:ascii="宋体" w:hAnsi="宋体"/>
          <w:color w:val="auto"/>
          <w:sz w:val="24"/>
          <w:szCs w:val="24"/>
          <w:highlight w:val="none"/>
        </w:rPr>
        <w:t>本监理合同按GF—2012—0202《建设工程委托监理合同》（示范文本）。</w:t>
      </w:r>
    </w:p>
    <w:p w14:paraId="7955A415">
      <w:pPr>
        <w:spacing w:line="360" w:lineRule="auto"/>
        <w:ind w:firstLine="477" w:firstLineChars="198"/>
        <w:rPr>
          <w:rFonts w:hint="eastAsia" w:ascii="宋体" w:hAnsi="宋体"/>
          <w:b/>
          <w:bCs/>
          <w:color w:val="auto"/>
          <w:sz w:val="24"/>
          <w:szCs w:val="24"/>
          <w:highlight w:val="none"/>
        </w:rPr>
      </w:pPr>
    </w:p>
    <w:p w14:paraId="26E0197A">
      <w:pPr>
        <w:spacing w:line="360" w:lineRule="auto"/>
        <w:ind w:firstLine="557" w:firstLineChars="198"/>
        <w:jc w:val="center"/>
        <w:rPr>
          <w:rFonts w:hint="eastAsia" w:ascii="宋体" w:hAnsi="宋体" w:cs="宋体"/>
          <w:b/>
          <w:bCs/>
          <w:color w:val="auto"/>
          <w:sz w:val="24"/>
          <w:szCs w:val="24"/>
          <w:highlight w:val="none"/>
        </w:rPr>
      </w:pPr>
      <w:r>
        <w:rPr>
          <w:rFonts w:hint="eastAsia" w:ascii="宋体" w:hAnsi="宋体"/>
          <w:b/>
          <w:bCs/>
          <w:color w:val="auto"/>
          <w:sz w:val="28"/>
          <w:szCs w:val="28"/>
          <w:highlight w:val="none"/>
        </w:rPr>
        <w:t xml:space="preserve">  </w:t>
      </w:r>
      <w:r>
        <w:rPr>
          <w:rFonts w:hint="eastAsia" w:ascii="宋体" w:hAnsi="宋体" w:cs="宋体"/>
          <w:b/>
          <w:bCs/>
          <w:color w:val="auto"/>
          <w:sz w:val="24"/>
          <w:szCs w:val="24"/>
          <w:highlight w:val="none"/>
        </w:rPr>
        <w:t xml:space="preserve"> 建设工程委托监理合同</w:t>
      </w:r>
    </w:p>
    <w:p w14:paraId="33C68449">
      <w:pPr>
        <w:adjustRightInd w:val="0"/>
        <w:snapToGrid w:val="0"/>
        <w:spacing w:line="520" w:lineRule="atLeast"/>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委托人(全称)：</w:t>
      </w:r>
      <w:r>
        <w:rPr>
          <w:rFonts w:hint="eastAsia" w:ascii="宋体" w:hAnsi="宋体" w:cs="宋体"/>
          <w:bCs/>
          <w:color w:val="auto"/>
          <w:sz w:val="24"/>
          <w:szCs w:val="24"/>
          <w:highlight w:val="none"/>
          <w:u w:val="single"/>
          <w:lang w:eastAsia="zh-CN"/>
        </w:rPr>
        <w:t>铜陵江城置业有限公司</w:t>
      </w:r>
      <w:r>
        <w:rPr>
          <w:rFonts w:hint="eastAsia" w:ascii="宋体" w:hAnsi="宋体" w:cs="宋体"/>
          <w:bCs/>
          <w:color w:val="auto"/>
          <w:sz w:val="24"/>
          <w:szCs w:val="24"/>
          <w:highlight w:val="none"/>
          <w:u w:val="single"/>
          <w:lang w:val="en-US" w:eastAsia="zh-CN"/>
        </w:rPr>
        <w:t xml:space="preserve">      </w:t>
      </w:r>
    </w:p>
    <w:p w14:paraId="43938870">
      <w:pPr>
        <w:adjustRightInd w:val="0"/>
        <w:snapToGrid w:val="0"/>
        <w:spacing w:line="520" w:lineRule="atLeas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监理人(全称)：</w:t>
      </w:r>
      <w:r>
        <w:rPr>
          <w:rFonts w:hint="eastAsia" w:ascii="宋体" w:hAnsi="宋体" w:cs="宋体"/>
          <w:color w:val="auto"/>
          <w:sz w:val="24"/>
          <w:szCs w:val="24"/>
          <w:highlight w:val="none"/>
          <w:u w:val="single"/>
        </w:rPr>
        <w:t xml:space="preserve">                          </w:t>
      </w:r>
    </w:p>
    <w:p w14:paraId="51275334">
      <w:pPr>
        <w:adjustRightInd w:val="0"/>
        <w:snapToGrid w:val="0"/>
        <w:spacing w:line="360" w:lineRule="auto"/>
        <w:ind w:firstLine="480" w:firstLineChars="200"/>
        <w:rPr>
          <w:rFonts w:hint="eastAsia" w:ascii="宋体" w:hAnsi="宋体" w:cs="宋体"/>
          <w:color w:val="auto"/>
          <w:sz w:val="24"/>
          <w:szCs w:val="24"/>
          <w:highlight w:val="none"/>
        </w:rPr>
      </w:pPr>
    </w:p>
    <w:p w14:paraId="2482857C">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根据《中华人民共和国民法典》、《中华人民共和国建筑法》及其他有关法律、法规，遵循平等、自愿、公平和诚信的原则，双方就下述工程委托监理与相关服务事项协商一致，订立本合同。</w:t>
      </w:r>
    </w:p>
    <w:p w14:paraId="75E48ED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一、工程概况</w:t>
      </w:r>
    </w:p>
    <w:p w14:paraId="299BCBA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工程名称：</w:t>
      </w:r>
      <w:r>
        <w:rPr>
          <w:rFonts w:hint="eastAsia" w:ascii="宋体" w:hAnsi="宋体" w:cs="宋体"/>
          <w:color w:val="auto"/>
          <w:sz w:val="24"/>
          <w:szCs w:val="24"/>
          <w:highlight w:val="none"/>
          <w:u w:val="single"/>
        </w:rPr>
        <w:t>（注：根据中标标段结合本招标文件，中标后修改）</w:t>
      </w:r>
    </w:p>
    <w:p w14:paraId="31EB1868">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工程规模：</w:t>
      </w:r>
      <w:r>
        <w:rPr>
          <w:rFonts w:hint="eastAsia" w:ascii="宋体" w:hAnsi="宋体" w:cs="宋体"/>
          <w:color w:val="auto"/>
          <w:sz w:val="24"/>
          <w:szCs w:val="24"/>
          <w:highlight w:val="none"/>
          <w:u w:val="single"/>
        </w:rPr>
        <w:t>（注：根据中标标段结合本招标文件，中标后修改）</w:t>
      </w:r>
    </w:p>
    <w:p w14:paraId="1EDACE86">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工程概算投资额或建筑安装工程费：</w:t>
      </w:r>
      <w:r>
        <w:rPr>
          <w:rFonts w:hint="eastAsia" w:ascii="宋体" w:hAnsi="宋体" w:cs="宋体"/>
          <w:color w:val="auto"/>
          <w:sz w:val="24"/>
          <w:szCs w:val="24"/>
          <w:highlight w:val="none"/>
          <w:u w:val="single"/>
        </w:rPr>
        <w:t>（注：根据中标标段结合本招标文件，中标后修改）</w:t>
      </w:r>
    </w:p>
    <w:p w14:paraId="60FF5E5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二、词语限定</w:t>
      </w:r>
    </w:p>
    <w:p w14:paraId="108A347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协议书中相关词语的含义与通用条件中的定义与解释相同。</w:t>
      </w:r>
    </w:p>
    <w:p w14:paraId="3D1A6341">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三、组成本合同的文件</w:t>
      </w:r>
    </w:p>
    <w:p w14:paraId="196D5AD5">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协议书；</w:t>
      </w:r>
    </w:p>
    <w:p w14:paraId="5953C22D">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 中标通知书（适用于招标工程）或委托书（适用于非招标工程）；</w:t>
      </w:r>
    </w:p>
    <w:p w14:paraId="6257B7A7">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 投标文件（适用于招标工程）或监理与相关服务建议书（适用于非招标工程）；</w:t>
      </w:r>
    </w:p>
    <w:p w14:paraId="2E9B3D21">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 专用条件；</w:t>
      </w:r>
    </w:p>
    <w:p w14:paraId="0C8503AB">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 通用条件；</w:t>
      </w:r>
    </w:p>
    <w:p w14:paraId="0CC060BE">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 附录，即：</w:t>
      </w:r>
    </w:p>
    <w:p w14:paraId="0139BC63">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附录 A 相关服务的范围和内容</w:t>
      </w:r>
    </w:p>
    <w:p w14:paraId="399BE7BC">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附录 B 委托人派遣的人员和提供的房屋、资料、设备</w:t>
      </w:r>
    </w:p>
    <w:p w14:paraId="1F4CA0B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本合同签订后，双方依法签订的补充协议也是本合同文件的组成部分。</w:t>
      </w:r>
    </w:p>
    <w:p w14:paraId="74FD06EF">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四、总监理工程师</w:t>
      </w:r>
    </w:p>
    <w:p w14:paraId="31C4C04D">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总监理工程师姓名：</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，身份证号码：</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，注册号：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79AC21D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五、签约合同价与合同价格形式</w:t>
      </w:r>
    </w:p>
    <w:p w14:paraId="25DAFE9D">
      <w:pPr>
        <w:adjustRightInd w:val="0"/>
        <w:snapToGrid w:val="0"/>
        <w:spacing w:line="360" w:lineRule="auto"/>
        <w:ind w:firstLine="480" w:firstLineChars="200"/>
        <w:rPr>
          <w:rFonts w:hint="eastAsia" w:ascii="宋体" w:hAnsi="宋体" w:cs="宋体"/>
          <w:color w:val="auto"/>
          <w:sz w:val="24"/>
          <w:szCs w:val="24"/>
          <w:highlight w:val="none"/>
        </w:rPr>
      </w:pPr>
    </w:p>
    <w:p w14:paraId="0B56B3A9">
      <w:pPr>
        <w:numPr>
          <w:ilvl w:val="0"/>
          <w:numId w:val="1"/>
        </w:num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本合同</w:t>
      </w:r>
      <w:r>
        <w:rPr>
          <w:rFonts w:hint="eastAsia" w:ascii="宋体" w:hAnsi="宋体" w:eastAsia="宋体" w:cs="宋体"/>
          <w:color w:val="auto"/>
          <w:sz w:val="24"/>
          <w:szCs w:val="24"/>
          <w:highlight w:val="none"/>
        </w:rPr>
        <w:t>为固定费率合同</w:t>
      </w:r>
      <w:r>
        <w:rPr>
          <w:rFonts w:hint="eastAsia" w:ascii="宋体" w:hAnsi="宋体" w:cs="宋体"/>
          <w:color w:val="auto"/>
          <w:sz w:val="24"/>
          <w:szCs w:val="24"/>
          <w:highlight w:val="none"/>
        </w:rPr>
        <w:t>。合同暂定总价为人民币（大写）</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元（¥ </w:t>
      </w:r>
      <w:r>
        <w:rPr>
          <w:rFonts w:hint="eastAsia" w:ascii="宋体" w:hAnsi="宋体" w:cs="宋体"/>
          <w:i/>
          <w:iCs/>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元）；（其中：不含增值税造价：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元，增值税税率：</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%，增值税：</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w:t>
      </w:r>
      <w:r>
        <w:rPr>
          <w:rFonts w:hint="eastAsia" w:ascii="宋体" w:hAnsi="宋体" w:cs="宋体"/>
          <w:color w:val="auto"/>
          <w:sz w:val="24"/>
          <w:szCs w:val="24"/>
          <w:highlight w:val="none"/>
          <w:lang w:eastAsia="zh-CN"/>
        </w:rPr>
        <w:t>；合同费率为: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p w14:paraId="396A476C">
      <w:pPr>
        <w:adjustRightInd w:val="0"/>
        <w:snapToGrid w:val="0"/>
        <w:spacing w:line="360" w:lineRule="auto"/>
        <w:ind w:firstLine="482" w:firstLineChars="200"/>
        <w:rPr>
          <w:rFonts w:hint="eastAsia" w:ascii="宋体" w:hAnsi="宋体" w:cs="宋体"/>
          <w:b/>
          <w:bCs/>
          <w:color w:val="auto"/>
          <w:sz w:val="24"/>
          <w:szCs w:val="24"/>
          <w:highlight w:val="none"/>
        </w:rPr>
      </w:pPr>
      <w:r>
        <w:rPr>
          <w:rFonts w:hint="eastAsia" w:ascii="宋体" w:hAnsi="宋体" w:eastAsia="宋体" w:cs="宋体"/>
          <w:b/>
          <w:bCs/>
          <w:color w:val="auto"/>
          <w:sz w:val="24"/>
          <w:szCs w:val="24"/>
          <w:highlight w:val="none"/>
        </w:rPr>
        <w:t>本项目中标监理服务费不作为支付监理服务费及结算依据，实际监理服务费按费率计算，即中标监理服务费率=中标监理服务费÷建安工程投资额</w:t>
      </w:r>
      <w:r>
        <w:rPr>
          <w:rFonts w:hint="eastAsia" w:ascii="宋体" w:hAnsi="宋体" w:cs="宋体"/>
          <w:b/>
          <w:bCs/>
          <w:color w:val="auto"/>
          <w:sz w:val="24"/>
          <w:szCs w:val="24"/>
          <w:highlight w:val="none"/>
          <w:lang w:val="en-US" w:eastAsia="zh-CN"/>
        </w:rPr>
        <w:t>1675.48</w:t>
      </w:r>
      <w:r>
        <w:rPr>
          <w:rFonts w:hint="eastAsia" w:ascii="宋体" w:hAnsi="宋体" w:eastAsia="宋体" w:cs="宋体"/>
          <w:b/>
          <w:bCs/>
          <w:color w:val="auto"/>
          <w:sz w:val="24"/>
          <w:szCs w:val="24"/>
          <w:highlight w:val="none"/>
        </w:rPr>
        <w:t>万元*100%（保留至小数点后两位，小数点后第三位四舍五入，例：00.00%）。</w:t>
      </w:r>
    </w:p>
    <w:p w14:paraId="416D251C">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2、付款前监理人须开具正规增值税专用发票。增值税率为6%，投标人的投标价均视同按增值税率为6%考虑。投标人中标后，最终</w:t>
      </w:r>
      <w:r>
        <w:rPr>
          <w:rFonts w:hint="eastAsia" w:ascii="宋体" w:hAnsi="宋体" w:cs="宋体"/>
          <w:color w:val="auto"/>
          <w:sz w:val="24"/>
          <w:szCs w:val="24"/>
          <w:highlight w:val="none"/>
          <w:lang w:val="en-US" w:eastAsia="zh-CN"/>
        </w:rPr>
        <w:t>监理</w:t>
      </w:r>
      <w:r>
        <w:rPr>
          <w:rFonts w:hint="eastAsia" w:ascii="宋体" w:hAnsi="宋体" w:cs="宋体"/>
          <w:color w:val="auto"/>
          <w:sz w:val="24"/>
          <w:szCs w:val="24"/>
          <w:highlight w:val="none"/>
        </w:rPr>
        <w:t>服务费结算价根据投标人开具的发票税率，按下列公式调整：最终</w:t>
      </w:r>
      <w:r>
        <w:rPr>
          <w:rFonts w:hint="eastAsia" w:ascii="宋体" w:hAnsi="宋体" w:cs="宋体"/>
          <w:color w:val="auto"/>
          <w:sz w:val="24"/>
          <w:szCs w:val="24"/>
          <w:highlight w:val="none"/>
          <w:lang w:val="en-US" w:eastAsia="zh-CN"/>
        </w:rPr>
        <w:t>监理</w:t>
      </w:r>
      <w:r>
        <w:rPr>
          <w:rFonts w:hint="eastAsia" w:ascii="宋体" w:hAnsi="宋体" w:cs="宋体"/>
          <w:color w:val="auto"/>
          <w:sz w:val="24"/>
          <w:szCs w:val="24"/>
          <w:highlight w:val="none"/>
        </w:rPr>
        <w:t>服务费结算价/1.06*(1+实际开票税率）。</w:t>
      </w:r>
    </w:p>
    <w:p w14:paraId="39A97B69">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监理服务费用包括但不限于监理服务期限内所有的人工费、交通费、现场差旅食宿费、现场办公配置费、其他现场经费、文件编制复印费、装帧装订费、通讯费、加班赶工费、器具使用费、报批报建报验费、企业管理费、利润、税金等全部费用及市场变化风险等，除合同另有说明外，不因任何理由予以调整。</w:t>
      </w:r>
    </w:p>
    <w:p w14:paraId="0BF262DA">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、上述合同价款已包含监理人开具增值税专用发票需缴纳的税金。</w:t>
      </w:r>
    </w:p>
    <w:p w14:paraId="008822B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六、期限</w:t>
      </w:r>
    </w:p>
    <w:p w14:paraId="5237DEDE">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监理期限：</w:t>
      </w:r>
    </w:p>
    <w:p w14:paraId="37FDDDC2">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本项目施工总工期</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en-US" w:eastAsia="zh-CN"/>
        </w:rPr>
        <w:t>0日历天</w:t>
      </w:r>
      <w:r>
        <w:rPr>
          <w:rFonts w:hint="eastAsia" w:ascii="宋体" w:hAnsi="宋体" w:eastAsia="宋体" w:cs="宋体"/>
          <w:color w:val="auto"/>
          <w:sz w:val="24"/>
          <w:szCs w:val="24"/>
          <w:highlight w:val="none"/>
          <w:lang w:eastAsia="zh-CN"/>
        </w:rPr>
        <w:t>，监理服务期为工程施工准备阶段至工程竣工验收（同工程总承包合同工期）、后期结算</w:t>
      </w:r>
      <w:r>
        <w:rPr>
          <w:rFonts w:hint="eastAsia" w:ascii="宋体" w:hAnsi="宋体" w:cs="宋体"/>
          <w:color w:val="auto"/>
          <w:sz w:val="24"/>
          <w:szCs w:val="24"/>
          <w:highlight w:val="none"/>
          <w:lang w:val="en-US" w:eastAsia="zh-CN"/>
        </w:rPr>
        <w:t>审核</w:t>
      </w:r>
      <w:r>
        <w:rPr>
          <w:rFonts w:hint="eastAsia" w:ascii="宋体" w:hAnsi="宋体" w:eastAsia="宋体" w:cs="宋体"/>
          <w:color w:val="auto"/>
          <w:sz w:val="24"/>
          <w:szCs w:val="24"/>
          <w:highlight w:val="none"/>
          <w:lang w:eastAsia="zh-CN"/>
        </w:rPr>
        <w:t>结束及缺陷责任期满，以实际工期为准，工期增加监理费不增加</w:t>
      </w:r>
      <w:r>
        <w:rPr>
          <w:rFonts w:hint="eastAsia" w:ascii="宋体" w:hAnsi="宋体" w:eastAsia="宋体" w:cs="宋体"/>
          <w:color w:val="auto"/>
          <w:sz w:val="24"/>
          <w:szCs w:val="24"/>
          <w:highlight w:val="none"/>
        </w:rPr>
        <w:t>。</w:t>
      </w:r>
    </w:p>
    <w:p w14:paraId="462B94DB">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 相关服务期限：</w:t>
      </w:r>
    </w:p>
    <w:p w14:paraId="7861CF94">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（1）勘察阶段服务期限自</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日始，至</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日止。</w:t>
      </w:r>
    </w:p>
    <w:p w14:paraId="026EC138">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（2）设计阶段服务期限自</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日始，至</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日止。</w:t>
      </w:r>
    </w:p>
    <w:p w14:paraId="2BCDC3FD">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（3）保修阶段服务期限自</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日始，至</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日止。</w:t>
      </w:r>
    </w:p>
    <w:p w14:paraId="1D4A06D5">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（4）其他相关服务期限自</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日始，至</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日止。</w:t>
      </w:r>
    </w:p>
    <w:p w14:paraId="5A9F0F86">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七、双方承诺</w:t>
      </w:r>
    </w:p>
    <w:p w14:paraId="49842177">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监理人向委托人承诺，按照本合同约定提供监理与相关服务。</w:t>
      </w:r>
    </w:p>
    <w:p w14:paraId="0AA3CEEF">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 委托人向监理人承诺，按照本合同约定派遣相应的人员，提供房屋、资料、设备，并按本合同约定支付酬金。</w:t>
      </w:r>
    </w:p>
    <w:p w14:paraId="7D1ED1A7">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八、合同订立</w:t>
      </w:r>
    </w:p>
    <w:p w14:paraId="05D4AF6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订立时间：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541B21EE">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 订立地点：</w:t>
      </w:r>
      <w:r>
        <w:rPr>
          <w:rFonts w:hint="eastAsia" w:ascii="宋体" w:hAnsi="宋体" w:cs="宋体"/>
          <w:color w:val="auto"/>
          <w:sz w:val="24"/>
          <w:szCs w:val="24"/>
          <w:highlight w:val="none"/>
          <w:u w:val="single"/>
          <w:lang w:eastAsia="zh-CN"/>
        </w:rPr>
        <w:t>铜陵江城置业有限公司</w:t>
      </w:r>
      <w:r>
        <w:rPr>
          <w:rFonts w:hint="eastAsia" w:ascii="宋体" w:hAnsi="宋体" w:cs="宋体"/>
          <w:color w:val="auto"/>
          <w:sz w:val="24"/>
          <w:szCs w:val="24"/>
          <w:highlight w:val="none"/>
          <w:u w:val="single"/>
        </w:rPr>
        <w:t>。</w:t>
      </w:r>
    </w:p>
    <w:p w14:paraId="41DFBA5D">
      <w:pPr>
        <w:adjustRightInd w:val="0"/>
        <w:snapToGrid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3. 本合同一式</w:t>
      </w:r>
      <w:r>
        <w:rPr>
          <w:rFonts w:hint="eastAsia" w:ascii="宋体" w:hAnsi="宋体" w:cs="宋体"/>
          <w:color w:val="auto"/>
          <w:sz w:val="24"/>
          <w:szCs w:val="24"/>
          <w:highlight w:val="none"/>
          <w:u w:val="single"/>
        </w:rPr>
        <w:t>拾</w:t>
      </w:r>
      <w:r>
        <w:rPr>
          <w:rFonts w:hint="eastAsia" w:ascii="宋体" w:hAnsi="宋体" w:cs="宋体"/>
          <w:color w:val="auto"/>
          <w:sz w:val="24"/>
          <w:szCs w:val="24"/>
          <w:highlight w:val="none"/>
        </w:rPr>
        <w:t>份，具有同等法律效力，甲方执</w:t>
      </w:r>
      <w:r>
        <w:rPr>
          <w:rFonts w:hint="eastAsia" w:ascii="宋体" w:hAnsi="宋体" w:cs="宋体"/>
          <w:color w:val="auto"/>
          <w:sz w:val="24"/>
          <w:szCs w:val="24"/>
          <w:highlight w:val="none"/>
          <w:u w:val="single"/>
        </w:rPr>
        <w:t>陆</w:t>
      </w:r>
      <w:r>
        <w:rPr>
          <w:rFonts w:hint="eastAsia" w:ascii="宋体" w:hAnsi="宋体" w:cs="宋体"/>
          <w:color w:val="auto"/>
          <w:sz w:val="24"/>
          <w:szCs w:val="24"/>
          <w:highlight w:val="none"/>
        </w:rPr>
        <w:t>份，乙方执</w:t>
      </w:r>
      <w:r>
        <w:rPr>
          <w:rFonts w:hint="eastAsia" w:ascii="宋体" w:hAnsi="宋体" w:cs="宋体"/>
          <w:color w:val="auto"/>
          <w:sz w:val="24"/>
          <w:szCs w:val="24"/>
          <w:highlight w:val="none"/>
          <w:u w:val="single"/>
        </w:rPr>
        <w:t>肆</w:t>
      </w:r>
      <w:r>
        <w:rPr>
          <w:rFonts w:hint="eastAsia" w:ascii="宋体" w:hAnsi="宋体" w:cs="宋体"/>
          <w:color w:val="auto"/>
          <w:sz w:val="24"/>
          <w:szCs w:val="24"/>
          <w:highlight w:val="none"/>
        </w:rPr>
        <w:t>份。</w:t>
      </w:r>
    </w:p>
    <w:p w14:paraId="60535795">
      <w:pPr>
        <w:adjustRightInd w:val="0"/>
        <w:snapToGrid w:val="0"/>
        <w:spacing w:line="360" w:lineRule="auto"/>
        <w:ind w:firstLine="480" w:firstLineChars="200"/>
        <w:rPr>
          <w:rFonts w:hint="eastAsia" w:ascii="宋体" w:hAnsi="宋体" w:cs="宋体"/>
          <w:color w:val="auto"/>
          <w:sz w:val="24"/>
          <w:szCs w:val="24"/>
          <w:highlight w:val="none"/>
        </w:rPr>
      </w:pPr>
    </w:p>
    <w:p w14:paraId="0D51792E">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委托人：   （盖章）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监理人：   （盖章）    </w:t>
      </w:r>
    </w:p>
    <w:p w14:paraId="6CC7FD4C">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住所：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住所：                      </w:t>
      </w:r>
    </w:p>
    <w:p w14:paraId="76B725D5">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邮政编码：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邮政编码：                 </w:t>
      </w:r>
    </w:p>
    <w:p w14:paraId="066FCD67">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法定代表人或其授权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法定代表人或其授权</w:t>
      </w:r>
    </w:p>
    <w:p w14:paraId="15321548">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的代理人：（签字）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的代理人：（签字）          </w:t>
      </w:r>
    </w:p>
    <w:p w14:paraId="72CA051C">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开户银行：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开户银行： </w:t>
      </w:r>
    </w:p>
    <w:p w14:paraId="7C57507A">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账号：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账号： </w:t>
      </w:r>
    </w:p>
    <w:p w14:paraId="6ED34B4A">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电话：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电话：                        </w:t>
      </w:r>
    </w:p>
    <w:p w14:paraId="4D0DF317">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传真：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传真：                      </w:t>
      </w:r>
    </w:p>
    <w:p w14:paraId="2824E660">
      <w:pPr>
        <w:adjustRightInd w:val="0"/>
        <w:snapToGri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电子邮箱：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电子邮箱：                  </w:t>
      </w:r>
    </w:p>
    <w:p w14:paraId="7AF74B5D">
      <w:pPr>
        <w:adjustRightInd w:val="0"/>
        <w:snapToGrid w:val="0"/>
        <w:spacing w:line="360" w:lineRule="auto"/>
        <w:ind w:firstLine="480" w:firstLineChars="200"/>
        <w:rPr>
          <w:rFonts w:hint="eastAsia" w:ascii="宋体" w:hAnsi="宋体" w:cs="宋体"/>
          <w:color w:val="auto"/>
          <w:sz w:val="24"/>
          <w:szCs w:val="24"/>
          <w:highlight w:val="none"/>
        </w:rPr>
      </w:pPr>
    </w:p>
    <w:p w14:paraId="115315DB">
      <w:pPr>
        <w:adjustRightInd w:val="0"/>
        <w:snapToGrid w:val="0"/>
        <w:spacing w:line="360" w:lineRule="auto"/>
        <w:jc w:val="center"/>
        <w:rPr>
          <w:rFonts w:hint="eastAsia" w:ascii="宋体" w:hAnsi="宋体" w:cs="宋体"/>
          <w:color w:val="auto"/>
          <w:sz w:val="24"/>
          <w:szCs w:val="24"/>
          <w:highlight w:val="none"/>
        </w:rPr>
      </w:pPr>
      <w:r>
        <w:rPr>
          <w:rFonts w:hint="eastAsia" w:ascii="宋体" w:hAnsi="宋体" w:cs="宋体"/>
          <w:b/>
          <w:bCs/>
          <w:color w:val="auto"/>
          <w:sz w:val="24"/>
          <w:szCs w:val="24"/>
          <w:highlight w:val="none"/>
        </w:rPr>
        <w:br w:type="page"/>
      </w:r>
      <w:r>
        <w:rPr>
          <w:rFonts w:hint="eastAsia" w:ascii="宋体" w:hAnsi="宋体" w:cs="宋体"/>
          <w:b/>
          <w:bCs/>
          <w:color w:val="auto"/>
          <w:sz w:val="24"/>
          <w:szCs w:val="24"/>
          <w:highlight w:val="none"/>
        </w:rPr>
        <w:t>第二部分 通用条款</w:t>
      </w:r>
    </w:p>
    <w:p w14:paraId="4494A122">
      <w:pPr>
        <w:adjustRightInd w:val="0"/>
        <w:snapToGrid w:val="0"/>
        <w:spacing w:line="360" w:lineRule="auto"/>
        <w:ind w:firstLine="475" w:firstLineChars="198"/>
        <w:rPr>
          <w:rFonts w:hint="eastAsia" w:ascii="宋体" w:hAnsi="宋体" w:cs="宋体"/>
          <w:color w:val="auto"/>
          <w:sz w:val="24"/>
          <w:szCs w:val="24"/>
          <w:highlight w:val="none"/>
        </w:rPr>
      </w:pPr>
      <w:r>
        <w:rPr>
          <w:rFonts w:hint="eastAsia" w:ascii="宋体" w:hAnsi="宋体" w:cs="宋体"/>
          <w:color w:val="auto"/>
          <w:sz w:val="24"/>
          <w:szCs w:val="24"/>
          <w:highlight w:val="none"/>
        </w:rPr>
        <w:t>通用条款执行建设工程监理合同ＧＦ－2012－0202 中通用条件</w:t>
      </w:r>
    </w:p>
    <w:p w14:paraId="1B9ED5A5">
      <w:pPr>
        <w:adjustRightInd w:val="0"/>
        <w:snapToGrid w:val="0"/>
        <w:spacing w:line="360" w:lineRule="auto"/>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第三部分 专用条款</w:t>
      </w:r>
    </w:p>
    <w:p w14:paraId="2A828FC3">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1. 定义与解释</w:t>
      </w:r>
    </w:p>
    <w:p w14:paraId="725183DB">
      <w:pPr>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1.2  解释</w:t>
      </w:r>
    </w:p>
    <w:p w14:paraId="7315059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1.2.1 本合同文件除使用中文外，还可用</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7440B76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1.2.2 约定本合同文件的解释顺序为：</w:t>
      </w:r>
      <w:r>
        <w:rPr>
          <w:rFonts w:hint="eastAsia" w:ascii="宋体" w:hAnsi="宋体" w:cs="宋体"/>
          <w:color w:val="auto"/>
          <w:sz w:val="24"/>
          <w:szCs w:val="24"/>
          <w:highlight w:val="none"/>
          <w:u w:val="single"/>
        </w:rPr>
        <w:t>执行通用条件，但本专用条件另有约定的除外。</w:t>
      </w:r>
    </w:p>
    <w:p w14:paraId="4CCD5E56">
      <w:pPr>
        <w:adjustRightIn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2. 监理人义务</w:t>
      </w:r>
    </w:p>
    <w:p w14:paraId="230E6F72">
      <w:pPr>
        <w:adjustRightInd w:val="0"/>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2.1 监理的范围和</w:t>
      </w:r>
      <w:r>
        <w:rPr>
          <w:rFonts w:hint="eastAsia" w:ascii="宋体" w:hAnsi="宋体" w:cs="宋体"/>
          <w:bCs/>
          <w:color w:val="auto"/>
          <w:sz w:val="24"/>
          <w:szCs w:val="24"/>
          <w:highlight w:val="none"/>
        </w:rPr>
        <w:t>内容</w:t>
      </w:r>
    </w:p>
    <w:p w14:paraId="00D131D9">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2.1.1 监理范围包括：</w:t>
      </w:r>
      <w:r>
        <w:rPr>
          <w:rFonts w:hint="eastAsia" w:ascii="宋体" w:hAnsi="宋体" w:cs="宋体"/>
          <w:b/>
          <w:color w:val="auto"/>
          <w:sz w:val="24"/>
          <w:szCs w:val="24"/>
          <w:highlight w:val="none"/>
          <w:u w:val="single"/>
        </w:rPr>
        <w:t>项目施工阶段全过程监理、缺陷责任期相关服务主要包括“三控三管一协调”，即对工程的质量、进度和投资进行控制，对工程的安全文明施工、合同和信息进行管理以及负责工程建设内部的组织协调工作。施工阶段进度控制、质量控制、投资控制、安全管理、合同管理、信息管理、组织协调、</w:t>
      </w:r>
      <w:r>
        <w:rPr>
          <w:rFonts w:hint="eastAsia" w:ascii="宋体" w:hAnsi="宋体" w:cs="宋体"/>
          <w:b/>
          <w:color w:val="auto"/>
          <w:sz w:val="24"/>
          <w:szCs w:val="24"/>
          <w:highlight w:val="none"/>
          <w:u w:val="single"/>
          <w:lang w:val="en-US" w:eastAsia="zh-CN"/>
        </w:rPr>
        <w:t>结算审核</w:t>
      </w:r>
      <w:r>
        <w:rPr>
          <w:rFonts w:hint="eastAsia" w:ascii="宋体" w:hAnsi="宋体" w:cs="宋体"/>
          <w:b/>
          <w:color w:val="auto"/>
          <w:sz w:val="24"/>
          <w:szCs w:val="24"/>
          <w:highlight w:val="none"/>
          <w:u w:val="single"/>
        </w:rPr>
        <w:t>配合等。还包括保修阶段监理工作</w:t>
      </w:r>
      <w:r>
        <w:rPr>
          <w:rFonts w:hint="eastAsia" w:ascii="宋体" w:hAnsi="宋体" w:cs="宋体"/>
          <w:color w:val="auto"/>
          <w:sz w:val="24"/>
          <w:szCs w:val="24"/>
          <w:highlight w:val="none"/>
        </w:rPr>
        <w:t>。</w:t>
      </w:r>
    </w:p>
    <w:p w14:paraId="77787B2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2.1.2 监理工作内容还包括：配合业主完善前期资料及报建手续，做好项目前期统筹和施工标段划分工作，控制工程质量、进度、造价、安全和文明施工，监督管理《建设工程承包合同》的履行、信息管理，及协调发包人与工程建设有关各方面的工作关系承包人有义务协助发包人办理外围工作，主要包括但不限于以下内容： </w:t>
      </w:r>
    </w:p>
    <w:p w14:paraId="1AB1A4F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2.1.2.1 准备阶段</w:t>
      </w:r>
    </w:p>
    <w:p w14:paraId="593C650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（1）审查设计文件是否符合部、省鉴定批复和设计规范，施工图纸是否满足施工需要，并提出优化设计意见。核实设计概算。参加设计单位向施工单位进行的设计技术交底。</w:t>
      </w:r>
    </w:p>
    <w:p w14:paraId="0330478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（2）在施工设计图纸发给施工单位之前，进行审查签证。</w:t>
      </w:r>
    </w:p>
    <w:p w14:paraId="2DE5529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（3）检查开工前施工单位的复测资料，对定位情况、中线及水准桩的设置 是否稳固可靠进行监理。</w:t>
      </w:r>
    </w:p>
    <w:p w14:paraId="183D93A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（4）审查施工单位实施性施工组织设计，并对劳力、机械设备、材料等进场及布置情况，以及保证质量、安全、工期和控制造价等方面的措施进行监理，并向委托人和委托人委托的建设管理单位提出监理意见。</w:t>
      </w:r>
    </w:p>
    <w:p w14:paraId="7822416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（5）对施工单位质量保证体系是否健全、安全、质量技术措施是否落实进行监督、检查。</w:t>
      </w:r>
    </w:p>
    <w:p w14:paraId="65A4F9C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（6）审查施工单位提报的开工报告，经委托人批准后，下达开工令。</w:t>
      </w:r>
    </w:p>
    <w:p w14:paraId="6D20F88F">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（7）审查汇总施工图纸数量，并按工程施工承发包合同内工程数量进行列表比照，建立台帐，以便作为修订承发包合同变更设计等的依据。</w:t>
      </w:r>
    </w:p>
    <w:p w14:paraId="5811A7A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（8）协助委托人与施工单位签订经济合同。</w:t>
      </w:r>
    </w:p>
    <w:p w14:paraId="427DAA8A">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 施工阶段</w:t>
      </w:r>
    </w:p>
    <w:p w14:paraId="6E7975E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2.1.2.2.1 控制工程质量</w:t>
      </w:r>
    </w:p>
    <w:p w14:paraId="28E52ED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2.1.2.2.1.1 关键工序和重要部位的监理</w:t>
      </w:r>
    </w:p>
    <w:p w14:paraId="76456572">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（1）对工程的关键工序和重要部位以及各个环节实行旁站监理，旁站记录全面、详细与施工现场相符，及时处理施工过程中的问题。</w:t>
      </w:r>
    </w:p>
    <w:p w14:paraId="41997ED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（2）对所有隐蔽工程进行检查和记录，对隐蔽工程中出现的各种问题，及时监督施工单位认真处理，必要时邀请设计单位参加检查签证。</w:t>
      </w:r>
    </w:p>
    <w:p w14:paraId="4F625F2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2.1.2.2.1.2</w:t>
      </w:r>
    </w:p>
    <w:p w14:paraId="625BF8A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质量检查：</w:t>
      </w:r>
    </w:p>
    <w:p w14:paraId="3F8CEE2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（1）对施工测量、放样等进行随机抽查和重点复查。对发现的问题要做出监理记录，并通知施工单位及时纠正。</w:t>
      </w:r>
    </w:p>
    <w:p w14:paraId="3054E22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（2）检查工程材 料和设备：</w:t>
      </w:r>
    </w:p>
    <w:p w14:paraId="1396D1C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a.监理人对于施工承包人采购的材料及设备严格按照施工合格规定，进行样品的检查、封样，对进场的材料及设备进行比对样品，对照施工合同、图纸、清单及施工招标文件规定，对于发现的问题，及时书面通知委托人。</w:t>
      </w:r>
    </w:p>
    <w:p w14:paraId="6B87A71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b.监理人应对建筑材料、安装材料、成品、半成品、设备等按有关规定进行质量验收，对于不符合施工合同规定的品牌及规格的、不符合国家相关要求的，有权禁止其进入工地和投入使用。</w:t>
      </w:r>
    </w:p>
    <w:p w14:paraId="17E5C5B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（3）监督施工单位严格执行施工承包合同，严格按施工规范、设计图纸要求进行监理，对工程主要部位、主要环节的施工，按有关的施工规范 和质量检测规定，进行检验签证，并对施工质量做出评价。</w:t>
      </w:r>
    </w:p>
    <w:p w14:paraId="37EB363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（4）对施工工艺、劳力组织、机电设备等提出监理意见，当发现实际操作与工艺要求不符，对监理人有权进行制止，并及时通知委托人。</w:t>
      </w:r>
    </w:p>
    <w:p w14:paraId="4AEE0B9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（5）对施工单位完成的各类试件按规定进行检查和抽查，对试验结果做出评价。</w:t>
      </w:r>
    </w:p>
    <w:p w14:paraId="28D6C0DA">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（6）监督施工单位对单位工程、分项、分部工程质量评定工作资料是否齐全，并对质量评定工作做出综合评价。</w:t>
      </w:r>
    </w:p>
    <w:p w14:paraId="6A5D5AF4">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（7）检查安全防护措施及文明施工：对照各项规定、施工承包合同要求进行。对于未达标的或者存在安全隐患的，及时书面通知委托人，并出具书面意见、相关措施。</w:t>
      </w:r>
    </w:p>
    <w:p w14:paraId="75C2E2F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（8）对施工单位的检验测试仪器设备进行全面监督，审核度量衡的定期的检验资料，保证度量资料的准确。</w:t>
      </w:r>
    </w:p>
    <w:p w14:paraId="3FEBB3A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9）施工中发现一般质量事故，应立即通知施工单位返工处理，并记入监理日志本，对发生大、重大质量事故，主持事故分析会，督促施工单位及时处理，有权否定施工单位对质量事故和返工处理的意见，责成重新研究处理方案，并报委托人。</w:t>
      </w:r>
    </w:p>
    <w:p w14:paraId="5787D9D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（10）对工程的施工检查要保证不漏检，重点过程和技术复杂的过程适当增加检查次数。</w:t>
      </w:r>
    </w:p>
    <w:p w14:paraId="63F2888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（11）督促并配合设计、施工单位搞好工程创优工作。</w:t>
      </w:r>
    </w:p>
    <w:p w14:paraId="1F4552A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（12）以现场监理为主成立工程质量监控小组，确保工程质量。</w:t>
      </w:r>
    </w:p>
    <w:p w14:paraId="7ADD0E0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2.1.2.2.2 工程进度监理：</w:t>
      </w:r>
    </w:p>
    <w:p w14:paraId="7A1BC6A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2.1.2.2.2.1 监督施工单位严格按照《施工承发包合同》规定的工期和委托人下达的季、年度施工计划组织施工，每月向委托人报告施工计划的完成情况和存在的问题。</w:t>
      </w:r>
    </w:p>
    <w:p w14:paraId="7D93B01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2.1.2.2.2.2 审批施工方案、年度计划、月度计划的合理性及操作性。</w:t>
      </w:r>
    </w:p>
    <w:p w14:paraId="431DE93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2.1.2.2.2.3 掌握并准确了解工程进度，如发生延误应及时分析原因提出相应措施，并报告委托人。</w:t>
      </w:r>
    </w:p>
    <w:p w14:paraId="45F5BA04">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2.1.2.2.2.4 及时处理施工单位提交的工程联系单，对工程联系单提出的问题，监理应给予明确的回复意见，并报委托人批准。</w:t>
      </w:r>
    </w:p>
    <w:p w14:paraId="0A12DCB8">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 控制工程造价</w:t>
      </w:r>
    </w:p>
    <w:p w14:paraId="312519D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2.1.2.2.3.1 按委托人制订的有关办法和规定办理验工计价签证，保证验工签证的各项工程质量合格、数量准确（做到不超验、不漏验）。</w:t>
      </w:r>
    </w:p>
    <w:p w14:paraId="3B1CB37A">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2.1.2.2.3.2 建立工程进度台帐，核对工程形象进度，审核施工单位报送的工程量，按月、季向委托人报告。</w:t>
      </w:r>
    </w:p>
    <w:p w14:paraId="1282D82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2.1.2.2.3.3 建立验工计价台账，每月向委托人报送一次，每季末与施工单位核对清算一次，核对清算后资料报委托人。</w:t>
      </w:r>
    </w:p>
    <w:p w14:paraId="3389A2AF">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2.1.2.2.3.4 对不符合质量标准的工程，未经返工处理达标前不予验工。</w:t>
      </w:r>
    </w:p>
    <w:p w14:paraId="2799898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2.1.2.2.3.5 组织召开现场例会，重要协调事项应事先向委托人请示报告。</w:t>
      </w:r>
    </w:p>
    <w:p w14:paraId="15CBDE3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2.1.2.2.4 变更设计和现场经济签证</w:t>
      </w:r>
    </w:p>
    <w:p w14:paraId="16ACBA4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2.1.2.2.4.1 负责对设计变更进行初审，核实变更设计增、减数量，提出初审意见，报委托人审定，审查施工单位根据设计变更通知书编制的预算书。</w:t>
      </w:r>
    </w:p>
    <w:p w14:paraId="7EC6B24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2.1.2.2.4.2 根据施工现场情况及时办理现场经济签证，计量核价，报委托人审定。</w:t>
      </w:r>
    </w:p>
    <w:p w14:paraId="2D5952C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2.1.2.3 竣工验收阶段：</w:t>
      </w:r>
    </w:p>
    <w:p w14:paraId="5A7E1A0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2.1.2.3.1 督促、检查施工单位及时整理竣工文件和验收资料，并提出监理意见。</w:t>
      </w:r>
    </w:p>
    <w:p w14:paraId="4E0EAE5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2.1.2.3.2 审查施工单位的工程竣工报告，并提出工程质量评价报告，以作为验收的依据。</w:t>
      </w:r>
    </w:p>
    <w:p w14:paraId="133E26BA">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2.1.2.3.3 参加并协助委托人组织的初验工作，提出监理意见。</w:t>
      </w:r>
    </w:p>
    <w:p w14:paraId="52BA8C99">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2.1.2.3.4 工程结算的初步审核。</w:t>
      </w:r>
    </w:p>
    <w:p w14:paraId="1AFF5C04">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2.1.2.4 缺陷责任期阶段</w:t>
      </w:r>
    </w:p>
    <w:p w14:paraId="613F638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2.1.2.4.1 缺陷责任期</w:t>
      </w:r>
    </w:p>
    <w:p w14:paraId="6586FC8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2.1.2.5 备案阶段：</w:t>
      </w:r>
    </w:p>
    <w:p w14:paraId="42E6AD4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2.1.2.5.1 整理完整的</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套监理资料报委托人存档，其余份数按主管部门要求报送。</w:t>
      </w:r>
    </w:p>
    <w:p w14:paraId="2BADA9B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2.1.2.5.2 协助委托人办完工程决算。</w:t>
      </w:r>
    </w:p>
    <w:p w14:paraId="32D03AA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2.1.2.6 其他监理工程内容及要求</w:t>
      </w:r>
    </w:p>
    <w:p w14:paraId="569917D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2.1.2.6.1 做到随叫随到，为委托人提供监理工作范围内的服务。</w:t>
      </w:r>
    </w:p>
    <w:p w14:paraId="27066D6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2.1.2.6.2 监理工程师应把热情服务作为其应尽的职责，在实施工监理的同时，充分发挥其专业技术特长和管理方面的知识，帮助施工单位提高技术业务和管理水平，攻克技术难点献计献策。</w:t>
      </w:r>
    </w:p>
    <w:p w14:paraId="78195E6D">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2.2 监理与相关服务依据</w:t>
      </w:r>
    </w:p>
    <w:p w14:paraId="4F53664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 监理依据包括：</w:t>
      </w:r>
    </w:p>
    <w:p w14:paraId="0152DBD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2.2.1.1、《中华人民共和国民法典》；</w:t>
      </w:r>
    </w:p>
    <w:p w14:paraId="5CFC249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2.2.1.2、《中华人民共和国建筑法》；</w:t>
      </w:r>
    </w:p>
    <w:p w14:paraId="5859B8C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2.2.1.3、《中华人民共和国招标投标法》及《中华人民共和国招标投标法实施条 例》；</w:t>
      </w:r>
    </w:p>
    <w:p w14:paraId="4849B11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2.2.1.4、中华人民共和国国务院第 279 号《建设工程质量管理条例》；</w:t>
      </w:r>
    </w:p>
    <w:p w14:paraId="16DB44C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2.2.1.5、中华人民共和国国务院第 393 号《建设工程安全生产管理条例》；</w:t>
      </w:r>
    </w:p>
    <w:p w14:paraId="326EF86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2.2.1.6、依法订立的本《建设工程委托监理合同》（包括标准条件、专用条件及实施过程中共同签署的补充与修正文件）；</w:t>
      </w:r>
    </w:p>
    <w:p w14:paraId="1D20B85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2.2.1.7、本项目的中标通知书、招标文件；</w:t>
      </w:r>
    </w:p>
    <w:p w14:paraId="3FB495F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2.2.1.8、监理人就本项目的投标文件</w:t>
      </w:r>
    </w:p>
    <w:p w14:paraId="431980B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2.2.1.9、《建设工程施工承包合同》及补充协议；</w:t>
      </w:r>
    </w:p>
    <w:p w14:paraId="726D974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2.2.1.10、工程施工设计图纸、工程建设计划、施工图预算及地质资料等；</w:t>
      </w:r>
    </w:p>
    <w:p w14:paraId="7D37B55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2.2.1.11、监理大纲和监理实施细则，承包人的施工组织设计；</w:t>
      </w:r>
    </w:p>
    <w:p w14:paraId="638AB56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2.2.1.12、现行有关工程的 技术标准、规范、规程；</w:t>
      </w:r>
    </w:p>
    <w:p w14:paraId="39DAB39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2.2.1.13、国家和地方现行有关工程建设的法令、法规、政策和规定。</w:t>
      </w:r>
    </w:p>
    <w:p w14:paraId="441497C6">
      <w:pPr>
        <w:spacing w:line="360" w:lineRule="auto"/>
        <w:ind w:left="315" w:leftChars="150" w:firstLine="120" w:firstLineChars="50"/>
        <w:rPr>
          <w:rFonts w:hint="eastAsia" w:ascii="宋体" w:hAnsi="宋体" w:cs="宋体"/>
          <w:color w:val="auto"/>
          <w:sz w:val="24"/>
          <w:szCs w:val="24"/>
          <w:highlight w:val="none"/>
        </w:rPr>
      </w:pPr>
      <w:r>
        <w:rPr>
          <w:rFonts w:hint="eastAsia" w:ascii="宋体" w:hAnsi="宋体" w:cs="宋体"/>
          <w:color w:val="auto"/>
          <w:sz w:val="24"/>
          <w:szCs w:val="24"/>
          <w:highlight w:val="none"/>
        </w:rPr>
        <w:t>2.2.1.14、建设单位及上级主管部门有关工程建设管理的有关管理、制度、办法及规定。</w:t>
      </w:r>
    </w:p>
    <w:p w14:paraId="3DED2C1B">
      <w:pPr>
        <w:spacing w:line="360" w:lineRule="auto"/>
        <w:ind w:left="315" w:leftChars="150" w:firstLine="120" w:firstLineChars="50"/>
        <w:rPr>
          <w:rFonts w:hint="eastAsia" w:ascii="宋体" w:hAnsi="宋体" w:cs="宋体"/>
          <w:color w:val="auto"/>
          <w:sz w:val="24"/>
          <w:szCs w:val="24"/>
          <w:highlight w:val="none"/>
        </w:rPr>
      </w:pPr>
      <w:r>
        <w:rPr>
          <w:rFonts w:hint="eastAsia" w:ascii="宋体" w:hAnsi="宋体" w:cs="宋体"/>
          <w:color w:val="auto"/>
          <w:sz w:val="24"/>
          <w:szCs w:val="24"/>
          <w:highlight w:val="none"/>
        </w:rPr>
        <w:t>2.2.1.15、发包人（含发包人母公司）内部制定的工程管理类或廉洁纪律等相关制度或者办法。</w:t>
      </w:r>
    </w:p>
    <w:p w14:paraId="54E991F5">
      <w:pPr>
        <w:adjustRightInd w:val="0"/>
        <w:spacing w:line="360" w:lineRule="auto"/>
        <w:ind w:firstLine="480" w:firstLineChars="200"/>
        <w:rPr>
          <w:rFonts w:hint="eastAsia" w:ascii="宋体" w:hAnsi="宋体" w:cs="宋体"/>
          <w:dstrike/>
          <w:color w:val="auto"/>
          <w:sz w:val="24"/>
          <w:szCs w:val="24"/>
          <w:highlight w:val="none"/>
        </w:rPr>
      </w:pPr>
      <w:r>
        <w:rPr>
          <w:rFonts w:hint="eastAsia" w:ascii="宋体" w:hAnsi="宋体" w:cs="宋体"/>
          <w:color w:val="auto"/>
          <w:sz w:val="24"/>
          <w:szCs w:val="24"/>
          <w:highlight w:val="none"/>
        </w:rPr>
        <w:t>2.2.2 相关服务依据包括：</w:t>
      </w:r>
      <w:r>
        <w:rPr>
          <w:rFonts w:hint="eastAsia" w:ascii="宋体" w:hAnsi="宋体" w:cs="宋体"/>
          <w:color w:val="auto"/>
          <w:sz w:val="24"/>
          <w:szCs w:val="24"/>
          <w:highlight w:val="none"/>
          <w:u w:val="single"/>
        </w:rPr>
        <w:t xml:space="preserve"> 与工程相关技术标准、规程、规范等 </w:t>
      </w:r>
      <w:r>
        <w:rPr>
          <w:rFonts w:hint="eastAsia" w:ascii="宋体" w:hAnsi="宋体" w:cs="宋体"/>
          <w:color w:val="auto"/>
          <w:sz w:val="24"/>
          <w:szCs w:val="24"/>
          <w:highlight w:val="none"/>
        </w:rPr>
        <w:t>。</w:t>
      </w:r>
    </w:p>
    <w:p w14:paraId="55024CBC">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2.3 项目监理机构和人员</w:t>
      </w:r>
    </w:p>
    <w:p w14:paraId="3C24913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2.3.1 监理人应组建满足工作需要的项目监理机构，配备必要的检测设备。项目监理机构的主要人员应具有相应的资格条件。</w:t>
      </w:r>
    </w:p>
    <w:p w14:paraId="44020B7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监理人应按其中标文件中“监理人员组成表”配备现场监理人员；监理人应按中标文件中“办公及检测设备投入表”在中标后</w:t>
      </w:r>
      <w:r>
        <w:rPr>
          <w:rFonts w:hint="eastAsia" w:ascii="宋体" w:hAnsi="宋体" w:cs="宋体"/>
          <w:b/>
          <w:color w:val="auto"/>
          <w:sz w:val="24"/>
          <w:szCs w:val="24"/>
          <w:highlight w:val="none"/>
          <w:u w:val="single"/>
        </w:rPr>
        <w:t xml:space="preserve"> 15 </w:t>
      </w:r>
      <w:r>
        <w:rPr>
          <w:rFonts w:hint="eastAsia" w:ascii="宋体" w:hAnsi="宋体" w:cs="宋体"/>
          <w:color w:val="auto"/>
          <w:sz w:val="24"/>
          <w:szCs w:val="24"/>
          <w:highlight w:val="none"/>
        </w:rPr>
        <w:t>个工作日内配备至施工现场。</w:t>
      </w:r>
    </w:p>
    <w:p w14:paraId="276561D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明确监理方人员组成为：工程现场常驻监理人员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人（其中总监理工程师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人、总监代表</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人，专业监理工程师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人、监理员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人、资料员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人（可兼任）、见证员（可兼任）</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人、造价工程师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w:t>
      </w:r>
    </w:p>
    <w:p w14:paraId="756202B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项目总监理工程师未经委托人书面确认，在工程建设期间不得兼任其他项目总监理工程师。</w:t>
      </w:r>
    </w:p>
    <w:p w14:paraId="0BBC143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注：（1）如果施工单位为赶施工进度，委托人要求监理单位根据需要增加人员配备，配合施工进度，监理方需无条件配合。（费用不得额外增加）。</w:t>
      </w:r>
    </w:p>
    <w:p w14:paraId="07184A5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（2）如在工程营造过程中发现现有监理人员工作要求及工作品质未达到委托人要求，委托人有权要求监理人无条件增加监理人员或调整监理人员，满足工程建设需要，监理费用不得增加。</w:t>
      </w:r>
    </w:p>
    <w:p w14:paraId="3D1BB62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（3）如发生非监理方原因导致的项目停工或缓建的，经发包人同意，监理方可申报驻场人员调整计划经发包人审批后实施，中标费率不做调整。</w:t>
      </w:r>
    </w:p>
    <w:p w14:paraId="494FEBE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2.3.2 本合同履行过程中，监理人员应保持相对稳定，以保证服务工作的正常进行。监理人员的更换，</w:t>
      </w:r>
      <w:r>
        <w:rPr>
          <w:rFonts w:hint="eastAsia" w:ascii="宋体" w:hAnsi="宋体" w:cs="宋体"/>
          <w:color w:val="auto"/>
          <w:sz w:val="24"/>
          <w:szCs w:val="24"/>
          <w:highlight w:val="none"/>
          <w:u w:val="single"/>
        </w:rPr>
        <w:t>必须事先向委托人提供以下材料并取得委托人书面批准以后，才能派替换的监理人员进场：（1）书面请示报告；（2）替换人的身份证（复印件）、毕业证（原件）、专业技术职称证书（原件）、监理资格证书（原件）、截至更换日连续三个月以上的社保缴纳记录及其工作经历与业绩等有关证明材料，相关业绩证明材料需与招标文件要求一致。</w:t>
      </w:r>
      <w:r>
        <w:rPr>
          <w:rFonts w:hint="eastAsia" w:ascii="宋体" w:hAnsi="宋体" w:cs="宋体"/>
          <w:color w:val="auto"/>
          <w:sz w:val="24"/>
          <w:szCs w:val="24"/>
          <w:highlight w:val="none"/>
        </w:rPr>
        <w:t>对于不称职监理人员，无正当理由必须2日内离开，并在2日内人员更换到位。发包人同意更换不影响承包人承担变更监理人员的违约责任。</w:t>
      </w:r>
    </w:p>
    <w:p w14:paraId="11C90784">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2.3.4 更换监理人员的其他情形：</w:t>
      </w:r>
      <w:r>
        <w:rPr>
          <w:rFonts w:hint="eastAsia" w:ascii="宋体" w:hAnsi="宋体" w:cs="宋体"/>
          <w:color w:val="auto"/>
          <w:sz w:val="24"/>
          <w:szCs w:val="24"/>
          <w:highlight w:val="none"/>
          <w:u w:val="single"/>
        </w:rPr>
        <w:t xml:space="preserve"> 当委托人发现监理人员不按监理合同履行监理职责，或与承包人串通给委托人或工程造成损失的，委托人有权要求监理人更换监理人员并承担由此带来的全部损失</w:t>
      </w:r>
      <w:r>
        <w:rPr>
          <w:rFonts w:hint="eastAsia" w:ascii="宋体" w:hAnsi="宋体" w:cs="宋体"/>
          <w:color w:val="auto"/>
          <w:sz w:val="24"/>
          <w:szCs w:val="24"/>
          <w:highlight w:val="none"/>
        </w:rPr>
        <w:t>。</w:t>
      </w:r>
    </w:p>
    <w:p w14:paraId="73D314BB">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2.4 履行职责</w:t>
      </w:r>
    </w:p>
    <w:p w14:paraId="0A2E71B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2.4.3 对监理人的授权范围：</w:t>
      </w:r>
      <w:r>
        <w:rPr>
          <w:rFonts w:hint="eastAsia" w:ascii="宋体" w:hAnsi="宋体" w:cs="宋体"/>
          <w:color w:val="auto"/>
          <w:sz w:val="24"/>
          <w:szCs w:val="24"/>
          <w:highlight w:val="none"/>
          <w:u w:val="single"/>
        </w:rPr>
        <w:t xml:space="preserve">本工程施工承包范围内全部工程的施工内容进行施工阶段的监理。监理的工作内容详见专用条件2.1.2。对工程开工令、停工令、复工令的签发，所涉及到的工程造价、工程变更、验收、计量等均应以书面形式报委托人批准 </w:t>
      </w:r>
      <w:r>
        <w:rPr>
          <w:rFonts w:hint="eastAsia" w:ascii="宋体" w:hAnsi="宋体" w:cs="宋体"/>
          <w:color w:val="auto"/>
          <w:sz w:val="24"/>
          <w:szCs w:val="24"/>
          <w:highlight w:val="none"/>
        </w:rPr>
        <w:t>。</w:t>
      </w:r>
    </w:p>
    <w:p w14:paraId="152AB328">
      <w:pPr>
        <w:adjustRightInd w:val="0"/>
        <w:spacing w:line="360" w:lineRule="auto"/>
        <w:ind w:firstLine="360" w:firstLineChars="150"/>
        <w:rPr>
          <w:rFonts w:hint="eastAsia" w:ascii="宋体" w:hAnsi="宋体" w:cs="宋体"/>
          <w:color w:val="auto"/>
          <w:sz w:val="24"/>
          <w:szCs w:val="24"/>
          <w:highlight w:val="none"/>
        </w:rPr>
      </w:pPr>
      <w:r>
        <w:rPr>
          <w:rFonts w:hint="eastAsia" w:ascii="宋体" w:hAnsi="宋体" w:cs="宋体"/>
          <w:color w:val="auto"/>
          <w:sz w:val="24"/>
          <w:szCs w:val="24"/>
          <w:highlight w:val="none"/>
        </w:rPr>
        <w:t>2.4.4 监理人有权要求承包人调换其人员的限制条件：</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 xml:space="preserve">。  </w:t>
      </w:r>
    </w:p>
    <w:p w14:paraId="49BC6AC3">
      <w:pPr>
        <w:adjustRightInd w:val="0"/>
        <w:spacing w:line="360" w:lineRule="auto"/>
        <w:ind w:firstLine="120" w:firstLineChars="50"/>
        <w:rPr>
          <w:rFonts w:hint="eastAsia" w:ascii="宋体" w:hAnsi="宋体" w:cs="宋体"/>
          <w:color w:val="auto"/>
          <w:sz w:val="24"/>
          <w:szCs w:val="24"/>
          <w:highlight w:val="none"/>
        </w:rPr>
      </w:pPr>
      <w:r>
        <w:rPr>
          <w:rFonts w:hint="eastAsia" w:ascii="宋体" w:hAnsi="宋体" w:cs="宋体"/>
          <w:color w:val="auto"/>
          <w:sz w:val="24"/>
          <w:szCs w:val="24"/>
          <w:highlight w:val="none"/>
        </w:rPr>
        <w:t>2.5 提交报告</w:t>
      </w:r>
    </w:p>
    <w:p w14:paraId="220AEE88">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监理人应提交报告的种类(包括监理规划、监理月报及约定的专项报告)、时间和份数：</w:t>
      </w:r>
      <w:r>
        <w:rPr>
          <w:rFonts w:hint="eastAsia" w:ascii="宋体" w:hAnsi="宋体" w:cs="宋体"/>
          <w:b/>
          <w:bCs/>
          <w:color w:val="auto"/>
          <w:sz w:val="24"/>
          <w:szCs w:val="24"/>
          <w:highlight w:val="none"/>
          <w:u w:val="single"/>
        </w:rPr>
        <w:t xml:space="preserve">监理规划及相关监理细则、方案：开工前；监理月报：当月 5 日前 </w:t>
      </w:r>
      <w:r>
        <w:rPr>
          <w:rFonts w:hint="eastAsia" w:ascii="宋体" w:hAnsi="宋体" w:cs="宋体"/>
          <w:color w:val="auto"/>
          <w:sz w:val="24"/>
          <w:szCs w:val="24"/>
          <w:highlight w:val="none"/>
        </w:rPr>
        <w:t>。</w:t>
      </w:r>
    </w:p>
    <w:p w14:paraId="5429D541">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2.5.1 监理规划，主要内容如下：</w:t>
      </w:r>
    </w:p>
    <w:p w14:paraId="36AF8787">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（1）监理工作概况。</w:t>
      </w:r>
    </w:p>
    <w:p w14:paraId="16FD7797">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（2）监理工作内容和依据。</w:t>
      </w:r>
    </w:p>
    <w:p w14:paraId="6C8C5A7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（3）控制工程承包合同、质量、进度、安全文明施工、投资的主要手段和措施。</w:t>
      </w:r>
    </w:p>
    <w:p w14:paraId="04827B30">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（4）监理工作计划（应包括监理程序、职权、进场到岗位计划等）。</w:t>
      </w:r>
    </w:p>
    <w:p w14:paraId="69F55C04">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（5）监理人员工作守则。</w:t>
      </w:r>
    </w:p>
    <w:p w14:paraId="23FC1F35">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（6）对本工程施工的难点、要点和关键部分的阐明及监理实施意见。</w:t>
      </w:r>
    </w:p>
    <w:p w14:paraId="6585AB3E">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（7）本工程的其他建议、要求。</w:t>
      </w:r>
    </w:p>
    <w:p w14:paraId="3CB04059">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（8）总监理工程师授权书。</w:t>
      </w:r>
    </w:p>
    <w:p w14:paraId="5595568F">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（9）总监理师到位承诺书。</w:t>
      </w:r>
    </w:p>
    <w:p w14:paraId="3AF24367">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2.5.2 定期的信息文件 监理月报。主要内容如下：</w:t>
      </w:r>
    </w:p>
    <w:p w14:paraId="71D7E9B5">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（1）项目概述：包括项目位置、项目主要特征及合同情况简介。</w:t>
      </w:r>
    </w:p>
    <w:p w14:paraId="5150C5E6">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（2）大事记。</w:t>
      </w:r>
    </w:p>
    <w:p w14:paraId="2D853B86">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（3）工程进度与形象面貌。</w:t>
      </w:r>
    </w:p>
    <w:p w14:paraId="3D1EB04B">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（4）资金到位和使用情况。</w:t>
      </w:r>
    </w:p>
    <w:p w14:paraId="39E01D7C">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（5）质量控制：包 括质量评定、质量分析、质量事故处理等情况。</w:t>
      </w:r>
    </w:p>
    <w:p w14:paraId="327B5D2A">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（6）合同执行情况：包括合同变更、索赔和违约等。</w:t>
      </w:r>
    </w:p>
    <w:p w14:paraId="3A4E53C2">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（7）现场会议和往来信函：包括会议记录、往来信函。</w:t>
      </w:r>
    </w:p>
    <w:p w14:paraId="1FDACFA6">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（8）监理工作：包括监理组织框图、资源投入、重要监理活动、图纸审查、发放、技术方案审查、工程需要解决的问题和其他事项。</w:t>
      </w:r>
    </w:p>
    <w:p w14:paraId="69B17F9E">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（9）施工人员情况：包括劳动力的动态、投入的设备、组织管理和存在的问题。</w:t>
      </w:r>
    </w:p>
    <w:p w14:paraId="7736C25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（10）安全和环境保护。</w:t>
      </w:r>
    </w:p>
    <w:p w14:paraId="3AD3DB71">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（11）进度款支付情况。</w:t>
      </w:r>
    </w:p>
    <w:p w14:paraId="6D2344CE">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（12）工程进展图片。</w:t>
      </w:r>
    </w:p>
    <w:p w14:paraId="181BDF99">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（13）其他。</w:t>
      </w:r>
    </w:p>
    <w:p w14:paraId="3E0A7E3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2.5.3 不定期的监理工作报告。主要内容如下：</w:t>
      </w:r>
    </w:p>
    <w:p w14:paraId="7CBDF3CF">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（1）关于工程优化设计、工程变 更的建议。</w:t>
      </w:r>
    </w:p>
    <w:p w14:paraId="7EA7D5E8">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（2）投资情况分析预测及资金、资源的合理配置和投入的建议。</w:t>
      </w:r>
    </w:p>
    <w:p w14:paraId="6481002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（3）工程进度预测分析报告。</w:t>
      </w:r>
    </w:p>
    <w:p w14:paraId="575F0E7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2.5.4 日常监理文件。主要内容如下：</w:t>
      </w:r>
    </w:p>
    <w:p w14:paraId="27CF873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（1）监理日记及施工大事记。</w:t>
      </w:r>
    </w:p>
    <w:p w14:paraId="34FF2982">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（2）施工计划批复文件。</w:t>
      </w:r>
    </w:p>
    <w:p w14:paraId="2F93625F">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（3）施工措施批复文件。</w:t>
      </w:r>
    </w:p>
    <w:p w14:paraId="7F679ED6">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（4）施工进度调整批复文件。</w:t>
      </w:r>
    </w:p>
    <w:p w14:paraId="7B535BD9">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（5）进度款支付确认文件。</w:t>
      </w:r>
    </w:p>
    <w:p w14:paraId="040A2051">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（6）索赔受理、调查及处理文件。</w:t>
      </w:r>
    </w:p>
    <w:p w14:paraId="7FCDA06F">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（7）监理协调会议纪要文件。</w:t>
      </w:r>
    </w:p>
    <w:p w14:paraId="59AC2F73">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（8）其他监理业务往来文件。</w:t>
      </w:r>
    </w:p>
    <w:p w14:paraId="04D317EA">
      <w:pPr>
        <w:adjustRightInd w:val="0"/>
        <w:spacing w:line="360" w:lineRule="auto"/>
        <w:ind w:firstLine="525"/>
        <w:rPr>
          <w:rFonts w:hint="eastAsia" w:ascii="宋体" w:hAnsi="宋体" w:cs="宋体"/>
          <w:color w:val="auto"/>
          <w:sz w:val="24"/>
          <w:szCs w:val="24"/>
          <w:highlight w:val="none"/>
        </w:rPr>
      </w:pPr>
      <w:r>
        <w:rPr>
          <w:rFonts w:hint="eastAsia" w:ascii="宋体" w:hAnsi="宋体" w:cs="宋体"/>
          <w:color w:val="auto"/>
          <w:sz w:val="24"/>
          <w:szCs w:val="24"/>
          <w:highlight w:val="none"/>
        </w:rPr>
        <w:t>2.5.5 文件报送时间及份数：</w:t>
      </w:r>
      <w:r>
        <w:rPr>
          <w:rFonts w:hint="eastAsia" w:ascii="宋体" w:hAnsi="宋体" w:cs="宋体"/>
          <w:color w:val="auto"/>
          <w:sz w:val="24"/>
          <w:szCs w:val="24"/>
          <w:highlight w:val="none"/>
          <w:u w:val="single"/>
        </w:rPr>
        <w:t>进场后 14 日内，提交监理规划 2 份，每月 25 日前提交监理月报 2 份</w:t>
      </w:r>
      <w:r>
        <w:rPr>
          <w:rFonts w:hint="eastAsia" w:ascii="宋体" w:hAnsi="宋体" w:cs="宋体"/>
          <w:color w:val="auto"/>
          <w:sz w:val="24"/>
          <w:szCs w:val="24"/>
          <w:highlight w:val="none"/>
        </w:rPr>
        <w:t>。</w:t>
      </w:r>
    </w:p>
    <w:p w14:paraId="6777FDF2">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2.7 使用委托人的财产</w:t>
      </w:r>
    </w:p>
    <w:p w14:paraId="142F3D6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附录B中由委托人无偿提供的房屋、设备的所有权属于：</w:t>
      </w:r>
      <w:r>
        <w:rPr>
          <w:rFonts w:hint="eastAsia" w:ascii="宋体" w:hAnsi="宋体" w:cs="宋体"/>
          <w:color w:val="auto"/>
          <w:sz w:val="24"/>
          <w:szCs w:val="24"/>
          <w:highlight w:val="none"/>
          <w:u w:val="single"/>
        </w:rPr>
        <w:t xml:space="preserve"> 委托人</w:t>
      </w:r>
      <w:r>
        <w:rPr>
          <w:rFonts w:hint="eastAsia" w:ascii="宋体" w:hAnsi="宋体" w:cs="宋体"/>
          <w:color w:val="auto"/>
          <w:sz w:val="24"/>
          <w:szCs w:val="24"/>
          <w:highlight w:val="none"/>
        </w:rPr>
        <w:t>。</w:t>
      </w:r>
    </w:p>
    <w:p w14:paraId="3D1B803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监理人应在本合同终止后</w:t>
      </w:r>
      <w:r>
        <w:rPr>
          <w:rFonts w:hint="eastAsia" w:ascii="宋体" w:hAnsi="宋体" w:cs="宋体"/>
          <w:color w:val="auto"/>
          <w:sz w:val="24"/>
          <w:szCs w:val="24"/>
          <w:highlight w:val="none"/>
          <w:u w:val="single"/>
        </w:rPr>
        <w:t xml:space="preserve"> 30 </w:t>
      </w:r>
      <w:r>
        <w:rPr>
          <w:rFonts w:hint="eastAsia" w:ascii="宋体" w:hAnsi="宋体" w:cs="宋体"/>
          <w:color w:val="auto"/>
          <w:sz w:val="24"/>
          <w:szCs w:val="24"/>
          <w:highlight w:val="none"/>
        </w:rPr>
        <w:t>天内移交委托人无偿提供的房屋、设备，移交的时间和方式为：</w:t>
      </w:r>
      <w:r>
        <w:rPr>
          <w:rFonts w:hint="eastAsia" w:ascii="宋体" w:hAnsi="宋体" w:cs="宋体"/>
          <w:color w:val="auto"/>
          <w:sz w:val="24"/>
          <w:szCs w:val="24"/>
          <w:highlight w:val="none"/>
          <w:u w:val="single"/>
        </w:rPr>
        <w:t xml:space="preserve"> 双方约定时间当面移交 </w:t>
      </w:r>
      <w:r>
        <w:rPr>
          <w:rFonts w:hint="eastAsia" w:ascii="宋体" w:hAnsi="宋体" w:cs="宋体"/>
          <w:color w:val="auto"/>
          <w:sz w:val="24"/>
          <w:szCs w:val="24"/>
          <w:highlight w:val="none"/>
        </w:rPr>
        <w:t>。</w:t>
      </w:r>
    </w:p>
    <w:p w14:paraId="59998DBD">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2.8履约担保</w:t>
      </w:r>
    </w:p>
    <w:p w14:paraId="77D8411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监理人提供履约保证金的形式：银行转账、银行电汇、银行保函、担保机构担保、保证保险均可。</w:t>
      </w:r>
    </w:p>
    <w:p w14:paraId="62C4D42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履约保证金的金额：为中标合同金额的2%。</w:t>
      </w:r>
    </w:p>
    <w:p w14:paraId="0A3589B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履约保证金提交期限的要求：签订合同前。</w:t>
      </w:r>
    </w:p>
    <w:p w14:paraId="4F92757B">
      <w:pPr>
        <w:adjustRightIn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 xml:space="preserve">3. 委托人义务  </w:t>
      </w:r>
    </w:p>
    <w:p w14:paraId="53613A7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 提供工作条件</w:t>
      </w:r>
    </w:p>
    <w:p w14:paraId="13FCBC2D">
      <w:pPr>
        <w:adjustRightInd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3.3.1 委托人向监理人提供：</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5B7B56E8">
      <w:pPr>
        <w:adjustRightInd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3.4 委托人代表</w:t>
      </w:r>
    </w:p>
    <w:p w14:paraId="67C0E61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委托人代表为：委托方应指派驻现场的代表，负责处理监理人在实施监理过程中有关事宜以及有关单位的协调工作；</w:t>
      </w:r>
    </w:p>
    <w:p w14:paraId="4983DBC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3.5 无论是否在本合同约定的监理与相关服务工作范围内，委托人对承包人的意见或要求，可直接向承包人发出指令，监理人应予以配合。</w:t>
      </w:r>
    </w:p>
    <w:p w14:paraId="3C5E13D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3.6 答复</w:t>
      </w:r>
    </w:p>
    <w:p w14:paraId="7FCA5FA2">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对监理人书面提交并要求做出决定的事宜，发包人未做书面答复的，视为拒绝。</w:t>
      </w:r>
    </w:p>
    <w:p w14:paraId="5C5AD93C">
      <w:pPr>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4. 违约责任</w:t>
      </w:r>
    </w:p>
    <w:p w14:paraId="0E6E3E17">
      <w:pPr>
        <w:spacing w:line="360" w:lineRule="auto"/>
        <w:ind w:left="210" w:leftChars="100"/>
        <w:rPr>
          <w:rFonts w:hint="eastAsia" w:ascii="宋体" w:hAnsi="宋体" w:cs="宋体"/>
          <w:color w:val="auto"/>
          <w:sz w:val="24"/>
          <w:szCs w:val="24"/>
          <w:highlight w:val="none"/>
        </w:rPr>
      </w:pPr>
      <w:r>
        <w:rPr>
          <w:rFonts w:hint="eastAsia" w:ascii="宋体" w:hAnsi="宋体" w:cs="宋体"/>
          <w:color w:val="auto"/>
          <w:sz w:val="24"/>
          <w:szCs w:val="24"/>
          <w:highlight w:val="none"/>
        </w:rPr>
        <w:t>4.1 监理人的违约责任</w:t>
      </w:r>
    </w:p>
    <w:p w14:paraId="23F360B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监理人未履行本合同义务的，应承担相应的责任。如果因监理人过失而造成了委托人的经济损失，该损失由监理人承担，包括但不限于委托人为主张监理人违约责任而支付的鉴定费、取证费、律师费、诉讼费等相关费用。</w:t>
      </w:r>
    </w:p>
    <w:p w14:paraId="3090722E">
      <w:pPr>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4.2 委托人的违约责任</w:t>
      </w:r>
    </w:p>
    <w:p w14:paraId="12C01BE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4.2.3 委托人逾期付款利息按下列方法确定：</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5859D53F">
      <w:pPr>
        <w:spacing w:line="360" w:lineRule="auto"/>
        <w:rPr>
          <w:rFonts w:hint="eastAsia" w:ascii="宋体" w:hAnsi="宋体" w:cs="宋体"/>
          <w:b/>
          <w:color w:val="auto"/>
          <w:sz w:val="24"/>
          <w:szCs w:val="24"/>
          <w:highlight w:val="none"/>
        </w:rPr>
      </w:pPr>
      <w:r>
        <w:rPr>
          <w:rFonts w:hint="eastAsia" w:ascii="宋体" w:hAnsi="宋体" w:cs="宋体"/>
          <w:b/>
          <w:bCs/>
          <w:color w:val="auto"/>
          <w:sz w:val="24"/>
          <w:szCs w:val="24"/>
          <w:highlight w:val="none"/>
        </w:rPr>
        <w:t>5. 支付</w:t>
      </w:r>
    </w:p>
    <w:p w14:paraId="152DE25C">
      <w:pPr>
        <w:spacing w:line="360" w:lineRule="auto"/>
        <w:ind w:left="210" w:left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支付货币</w:t>
      </w:r>
    </w:p>
    <w:p w14:paraId="2C61647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币种为：</w:t>
      </w:r>
      <w:r>
        <w:rPr>
          <w:rFonts w:hint="eastAsia" w:ascii="宋体" w:hAnsi="宋体" w:cs="宋体"/>
          <w:color w:val="auto"/>
          <w:sz w:val="24"/>
          <w:szCs w:val="24"/>
          <w:highlight w:val="none"/>
          <w:u w:val="single"/>
        </w:rPr>
        <w:t xml:space="preserve"> 人民币 </w:t>
      </w:r>
      <w:r>
        <w:rPr>
          <w:rFonts w:hint="eastAsia" w:ascii="宋体" w:hAnsi="宋体" w:cs="宋体"/>
          <w:color w:val="auto"/>
          <w:sz w:val="24"/>
          <w:szCs w:val="24"/>
          <w:highlight w:val="none"/>
        </w:rPr>
        <w:t>，比例为</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，汇率为</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 xml:space="preserve">。 </w:t>
      </w:r>
    </w:p>
    <w:p w14:paraId="22BB08BF">
      <w:pPr>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5.3 支付酬金</w:t>
      </w:r>
    </w:p>
    <w:p w14:paraId="6F167B0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付款方式： </w:t>
      </w:r>
    </w:p>
    <w:p w14:paraId="7472845B">
      <w:p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监理费支付：</w:t>
      </w:r>
      <w:r>
        <w:rPr>
          <w:rFonts w:hint="eastAsia" w:ascii="宋体" w:hAnsi="宋体" w:eastAsia="宋体" w:cs="宋体"/>
          <w:b/>
          <w:bCs/>
          <w:color w:val="auto"/>
          <w:sz w:val="24"/>
          <w:szCs w:val="24"/>
          <w:highlight w:val="none"/>
          <w:lang w:val="en-US" w:eastAsia="zh-CN"/>
        </w:rPr>
        <w:t>①中标监理费不作为支付监理费及结算依据，实际监理费按费率计算，即中标监理费率=中标监理单位投标价/</w:t>
      </w:r>
      <w:r>
        <w:rPr>
          <w:rFonts w:hint="eastAsia" w:ascii="宋体" w:hAnsi="宋体" w:cs="宋体"/>
          <w:b/>
          <w:bCs/>
          <w:color w:val="auto"/>
          <w:sz w:val="24"/>
          <w:szCs w:val="24"/>
          <w:highlight w:val="none"/>
          <w:lang w:val="en-US" w:eastAsia="zh-CN"/>
        </w:rPr>
        <w:t>1675.48</w:t>
      </w:r>
      <w:r>
        <w:rPr>
          <w:rFonts w:hint="eastAsia" w:ascii="宋体" w:hAnsi="宋体" w:eastAsia="宋体" w:cs="宋体"/>
          <w:b/>
          <w:bCs/>
          <w:color w:val="auto"/>
          <w:sz w:val="24"/>
          <w:szCs w:val="24"/>
          <w:highlight w:val="none"/>
          <w:lang w:val="en-US" w:eastAsia="zh-CN"/>
        </w:rPr>
        <w:t>万元（预估建安工程费投资）×100%；</w:t>
      </w:r>
    </w:p>
    <w:p w14:paraId="213207BC">
      <w:p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②合同监理费总额仅作为发包人向监理单位支付监理费进度款的参考依据，不作为最终监理费结算依据；最终结算监理费为中标监理费率×最终工程结算价。</w:t>
      </w:r>
    </w:p>
    <w:p w14:paraId="09A008B4">
      <w:p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③每月按实际完成合格工程量造价×中标监理费率×85%支付；工程竣工验收合格后付至85%(计算方式同上)，工程竣工验收完成及工程结算审核完成付至监理范围内工程结算价×中标监理费率的90%，工程竣工资料和监理资料整理并验收合格并移交给相关部门且缺陷责任期满后付至监理范围内工程结算价×中标监理费率的100%</w:t>
      </w:r>
    </w:p>
    <w:p w14:paraId="017C485A">
      <w:p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注：本工程监理服务费以监理范围内最终工程竣工结算核定价为计费基数，进度款计费基础暂按施工单位中标价作为计费基础，计费费率按监理单位中标的费率。</w:t>
      </w:r>
    </w:p>
    <w:p w14:paraId="4681646A">
      <w:pPr>
        <w:spacing w:line="360" w:lineRule="auto"/>
        <w:ind w:firstLine="482" w:firstLineChars="200"/>
        <w:rPr>
          <w:rFonts w:hint="eastAsia" w:ascii="宋体" w:hAnsi="宋体" w:eastAsia="宋体" w:cs="宋体"/>
          <w:b/>
          <w:bCs/>
          <w:color w:val="auto"/>
          <w:sz w:val="24"/>
          <w:szCs w:val="24"/>
          <w:highlight w:val="none"/>
        </w:rPr>
      </w:pPr>
      <w:r>
        <w:rPr>
          <w:rFonts w:hint="default" w:ascii="宋体" w:hAnsi="宋体" w:eastAsia="宋体" w:cs="宋体"/>
          <w:b/>
          <w:bCs/>
          <w:color w:val="auto"/>
          <w:sz w:val="24"/>
          <w:szCs w:val="24"/>
          <w:highlight w:val="none"/>
          <w:lang w:val="en-US" w:eastAsia="zh-CN"/>
        </w:rPr>
        <w:t>④</w:t>
      </w:r>
      <w:r>
        <w:rPr>
          <w:rFonts w:hint="eastAsia" w:ascii="宋体" w:hAnsi="宋体" w:eastAsia="宋体" w:cs="宋体"/>
          <w:b/>
          <w:bCs/>
          <w:color w:val="auto"/>
          <w:sz w:val="24"/>
          <w:szCs w:val="24"/>
          <w:highlight w:val="none"/>
          <w:lang w:val="en-US" w:eastAsia="zh-CN"/>
        </w:rPr>
        <w:t>本工程监理费率为“固定费率”。监理人的中标费率不因工程量的增减和政策性调整而改变。</w:t>
      </w:r>
    </w:p>
    <w:p w14:paraId="4924119A">
      <w:pPr>
        <w:spacing w:line="360" w:lineRule="auto"/>
        <w:rPr>
          <w:rFonts w:hint="eastAsia" w:ascii="宋体" w:hAnsi="宋体" w:cs="宋体"/>
          <w:b/>
          <w:bCs/>
          <w:color w:val="auto"/>
          <w:sz w:val="24"/>
          <w:szCs w:val="24"/>
          <w:highlight w:val="none"/>
        </w:rPr>
      </w:pPr>
      <w:r>
        <w:rPr>
          <w:rFonts w:hint="eastAsia" w:ascii="宋体" w:hAnsi="宋体" w:cs="宋体"/>
          <w:bCs/>
          <w:color w:val="auto"/>
          <w:sz w:val="24"/>
          <w:szCs w:val="24"/>
          <w:highlight w:val="none"/>
        </w:rPr>
        <w:t>6</w:t>
      </w:r>
      <w:r>
        <w:rPr>
          <w:rFonts w:hint="eastAsia" w:ascii="宋体" w:hAnsi="宋体" w:cs="宋体"/>
          <w:b/>
          <w:bCs/>
          <w:color w:val="auto"/>
          <w:sz w:val="24"/>
          <w:szCs w:val="24"/>
          <w:highlight w:val="none"/>
        </w:rPr>
        <w:t>. 合同生效、变更、暂停、解除与终止</w:t>
      </w:r>
    </w:p>
    <w:p w14:paraId="4CC1CF98">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6.1 生效</w:t>
      </w:r>
    </w:p>
    <w:p w14:paraId="52398D73">
      <w:pPr>
        <w:adjustRightInd w:val="0"/>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本合同生效条件：</w:t>
      </w:r>
      <w:r>
        <w:rPr>
          <w:rFonts w:hint="eastAsia" w:ascii="宋体" w:hAnsi="宋体" w:cs="宋体"/>
          <w:color w:val="auto"/>
          <w:sz w:val="24"/>
          <w:szCs w:val="24"/>
          <w:highlight w:val="none"/>
          <w:u w:val="single"/>
        </w:rPr>
        <w:t xml:space="preserve">本合同自双方法定代表人或其授权委托代理人签字或盖章，并加盖公章后生效 </w:t>
      </w:r>
      <w:r>
        <w:rPr>
          <w:rFonts w:hint="eastAsia" w:ascii="宋体" w:hAnsi="宋体" w:cs="宋体"/>
          <w:color w:val="auto"/>
          <w:sz w:val="24"/>
          <w:szCs w:val="24"/>
          <w:highlight w:val="none"/>
        </w:rPr>
        <w:t>。</w:t>
      </w:r>
    </w:p>
    <w:p w14:paraId="1C7BF4F6">
      <w:pPr>
        <w:adjustRightInd w:val="0"/>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6.2 变更</w:t>
      </w:r>
    </w:p>
    <w:p w14:paraId="5A40A0B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6.2.2 除不可抗力外， 因非监理人原因导致本合同期限延长时，附加工作酬金按下列方法确定：</w:t>
      </w:r>
      <w:r>
        <w:rPr>
          <w:rFonts w:hint="eastAsia" w:ascii="宋体" w:hAnsi="宋体" w:cs="宋体"/>
          <w:color w:val="auto"/>
          <w:sz w:val="24"/>
          <w:szCs w:val="24"/>
          <w:highlight w:val="none"/>
          <w:u w:val="single"/>
        </w:rPr>
        <w:t>无附加酬金</w:t>
      </w:r>
      <w:r>
        <w:rPr>
          <w:rFonts w:hint="eastAsia" w:ascii="宋体" w:hAnsi="宋体" w:cs="宋体"/>
          <w:color w:val="auto"/>
          <w:sz w:val="24"/>
          <w:szCs w:val="24"/>
          <w:highlight w:val="none"/>
        </w:rPr>
        <w:t xml:space="preserve"> 。</w:t>
      </w:r>
    </w:p>
    <w:p w14:paraId="29AD762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6.2.3 附加工作酬金按下列方法确定：</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35BA338E">
      <w:pPr>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6.2.5 正常工作酬金增加额按下列方法确定：</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30C41DB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6.2.6 因工程规模、监理范围的变化导致监理人的正常工作量减少时，正常工作酬金调整按下列方法确定： </w:t>
      </w:r>
      <w:r>
        <w:rPr>
          <w:rFonts w:hint="eastAsia" w:ascii="宋体" w:hAnsi="宋体" w:cs="宋体"/>
          <w:color w:val="auto"/>
          <w:sz w:val="24"/>
          <w:szCs w:val="24"/>
          <w:highlight w:val="none"/>
          <w:u w:val="single"/>
        </w:rPr>
        <w:t>据实结算酬金</w:t>
      </w:r>
      <w:r>
        <w:rPr>
          <w:rFonts w:hint="eastAsia" w:ascii="宋体" w:hAnsi="宋体" w:cs="宋体"/>
          <w:color w:val="auto"/>
          <w:sz w:val="24"/>
          <w:szCs w:val="24"/>
          <w:highlight w:val="none"/>
        </w:rPr>
        <w:t>。</w:t>
      </w:r>
    </w:p>
    <w:p w14:paraId="12B615A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6.3 暂停与解除</w:t>
      </w:r>
    </w:p>
    <w:p w14:paraId="33FDC83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除通用条件外，另外补充以下条款：</w:t>
      </w:r>
    </w:p>
    <w:p w14:paraId="3090B5A7">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委托人如果要求监理人全部或部分暂停执行监理义务或终止监理合同，则应当提前</w:t>
      </w:r>
      <w:r>
        <w:rPr>
          <w:rFonts w:hint="eastAsia" w:ascii="宋体" w:hAnsi="宋体" w:cs="宋体"/>
          <w:b/>
          <w:color w:val="auto"/>
          <w:sz w:val="24"/>
          <w:szCs w:val="24"/>
          <w:highlight w:val="none"/>
          <w:u w:val="single"/>
        </w:rPr>
        <w:t xml:space="preserve"> 30 </w:t>
      </w:r>
      <w:r>
        <w:rPr>
          <w:rFonts w:hint="eastAsia" w:ascii="宋体" w:hAnsi="宋体" w:cs="宋体"/>
          <w:color w:val="auto"/>
          <w:sz w:val="24"/>
          <w:szCs w:val="24"/>
          <w:highlight w:val="none"/>
        </w:rPr>
        <w:t>天通知监理人，监理人应当安排停止执行监理业务。暂停服务期间不计算监理费。</w:t>
      </w:r>
    </w:p>
    <w:p w14:paraId="00E85907">
      <w:pPr>
        <w:spacing w:line="360" w:lineRule="auto"/>
        <w:rPr>
          <w:rFonts w:hint="eastAsia" w:ascii="宋体" w:hAnsi="宋体" w:cs="宋体"/>
          <w:b/>
          <w:color w:val="auto"/>
          <w:sz w:val="24"/>
          <w:szCs w:val="24"/>
          <w:highlight w:val="none"/>
        </w:rPr>
      </w:pPr>
      <w:r>
        <w:rPr>
          <w:rFonts w:hint="eastAsia" w:ascii="宋体" w:hAnsi="宋体" w:cs="宋体"/>
          <w:b/>
          <w:bCs/>
          <w:color w:val="auto"/>
          <w:sz w:val="24"/>
          <w:szCs w:val="24"/>
          <w:highlight w:val="none"/>
        </w:rPr>
        <w:t>7. 争议解决</w:t>
      </w:r>
    </w:p>
    <w:p w14:paraId="00262E31">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7.2 </w:t>
      </w:r>
      <w:r>
        <w:rPr>
          <w:rFonts w:hint="eastAsia" w:ascii="宋体" w:hAnsi="宋体" w:cs="宋体"/>
          <w:bCs/>
          <w:color w:val="auto"/>
          <w:sz w:val="24"/>
          <w:szCs w:val="24"/>
          <w:highlight w:val="none"/>
        </w:rPr>
        <w:t>调解</w:t>
      </w:r>
    </w:p>
    <w:p w14:paraId="719726A9">
      <w:pPr>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本合同争议进行调解时，可提交</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u w:val="single"/>
        </w:rPr>
        <w:t>当地建设主管理部门</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进行调解。</w:t>
      </w:r>
    </w:p>
    <w:p w14:paraId="5A02FD4B">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7.3 </w:t>
      </w:r>
      <w:r>
        <w:rPr>
          <w:rFonts w:hint="eastAsia" w:ascii="宋体" w:hAnsi="宋体" w:cs="宋体"/>
          <w:bCs/>
          <w:color w:val="auto"/>
          <w:sz w:val="24"/>
          <w:szCs w:val="24"/>
          <w:highlight w:val="none"/>
        </w:rPr>
        <w:t>仲裁或诉讼</w:t>
      </w:r>
    </w:p>
    <w:p w14:paraId="5875B6F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合同争议的最终解决方式为下列第</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u w:val="single"/>
        </w:rPr>
        <w:t>（2）</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种方式：</w:t>
      </w:r>
    </w:p>
    <w:p w14:paraId="7A0C9DF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（1）提请</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仲裁委员会进行仲裁。</w:t>
      </w:r>
    </w:p>
    <w:p w14:paraId="1E597DF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（2）向</w:t>
      </w:r>
      <w:r>
        <w:rPr>
          <w:rFonts w:hint="eastAsia" w:ascii="宋体" w:hAnsi="宋体" w:cs="宋体"/>
          <w:color w:val="auto"/>
          <w:sz w:val="24"/>
          <w:szCs w:val="24"/>
          <w:highlight w:val="none"/>
          <w:u w:val="single"/>
        </w:rPr>
        <w:t xml:space="preserve"> </w:t>
      </w:r>
      <w:r>
        <w:rPr>
          <w:rFonts w:hint="eastAsia" w:ascii="宋体" w:hAnsi="宋体" w:cs="宋体"/>
          <w:b/>
          <w:color w:val="auto"/>
          <w:sz w:val="24"/>
          <w:szCs w:val="24"/>
          <w:highlight w:val="none"/>
          <w:u w:val="single"/>
        </w:rPr>
        <w:t xml:space="preserve">铜陵市铜官区 </w:t>
      </w:r>
      <w:r>
        <w:rPr>
          <w:rFonts w:hint="eastAsia" w:ascii="宋体" w:hAnsi="宋体" w:cs="宋体"/>
          <w:color w:val="auto"/>
          <w:sz w:val="24"/>
          <w:szCs w:val="24"/>
          <w:highlight w:val="none"/>
        </w:rPr>
        <w:t>人民法院提起诉讼。</w:t>
      </w:r>
    </w:p>
    <w:p w14:paraId="4667F644">
      <w:pPr>
        <w:adjustRightInd w:val="0"/>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8. 其他</w:t>
      </w:r>
    </w:p>
    <w:p w14:paraId="2F5C23A3">
      <w:pPr>
        <w:adjustRightInd w:val="0"/>
        <w:spacing w:line="360" w:lineRule="auto"/>
        <w:rPr>
          <w:rFonts w:hint="eastAsia" w:ascii="宋体" w:hAnsi="宋体" w:cs="宋体"/>
          <w:bCs/>
          <w:color w:val="auto"/>
          <w:sz w:val="24"/>
          <w:szCs w:val="24"/>
          <w:highlight w:val="none"/>
        </w:rPr>
      </w:pPr>
      <w:r>
        <w:rPr>
          <w:rFonts w:hint="eastAsia" w:ascii="宋体" w:hAnsi="宋体" w:cs="宋体"/>
          <w:b/>
          <w:bCs/>
          <w:color w:val="auto"/>
          <w:sz w:val="24"/>
          <w:szCs w:val="24"/>
          <w:highlight w:val="none"/>
        </w:rPr>
        <w:t xml:space="preserve">  </w:t>
      </w:r>
      <w:r>
        <w:rPr>
          <w:rFonts w:hint="eastAsia" w:ascii="宋体" w:hAnsi="宋体" w:cs="宋体"/>
          <w:bCs/>
          <w:color w:val="auto"/>
          <w:sz w:val="24"/>
          <w:szCs w:val="24"/>
          <w:highlight w:val="none"/>
        </w:rPr>
        <w:t>8.2 检测费用</w:t>
      </w:r>
    </w:p>
    <w:p w14:paraId="0B5FD467">
      <w:pPr>
        <w:adjustRightInd w:val="0"/>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 xml:space="preserve">    委托人应在检测工作完成后</w:t>
      </w:r>
      <w:r>
        <w:rPr>
          <w:rFonts w:hint="eastAsia" w:ascii="宋体" w:hAnsi="宋体" w:cs="宋体"/>
          <w:color w:val="auto"/>
          <w:sz w:val="24"/>
          <w:szCs w:val="24"/>
          <w:highlight w:val="none"/>
          <w:u w:val="single"/>
        </w:rPr>
        <w:t xml:space="preserve">   /  </w:t>
      </w:r>
      <w:r>
        <w:rPr>
          <w:rFonts w:hint="eastAsia" w:ascii="宋体" w:hAnsi="宋体" w:cs="宋体"/>
          <w:bCs/>
          <w:color w:val="auto"/>
          <w:sz w:val="24"/>
          <w:szCs w:val="24"/>
          <w:highlight w:val="none"/>
        </w:rPr>
        <w:t>天内支付检测费用。</w:t>
      </w:r>
    </w:p>
    <w:p w14:paraId="173A49B2">
      <w:pPr>
        <w:adjustRightInd w:val="0"/>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 xml:space="preserve">  8.3 咨询费用</w:t>
      </w:r>
    </w:p>
    <w:p w14:paraId="33393AAF">
      <w:pPr>
        <w:adjustRightInd w:val="0"/>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 xml:space="preserve">    委托人应在咨询工作完成后</w:t>
      </w:r>
      <w:r>
        <w:rPr>
          <w:rFonts w:hint="eastAsia" w:ascii="宋体" w:hAnsi="宋体" w:cs="宋体"/>
          <w:color w:val="auto"/>
          <w:sz w:val="24"/>
          <w:szCs w:val="24"/>
          <w:highlight w:val="none"/>
          <w:u w:val="single"/>
        </w:rPr>
        <w:t xml:space="preserve">   /  </w:t>
      </w:r>
      <w:r>
        <w:rPr>
          <w:rFonts w:hint="eastAsia" w:ascii="宋体" w:hAnsi="宋体" w:cs="宋体"/>
          <w:bCs/>
          <w:color w:val="auto"/>
          <w:sz w:val="24"/>
          <w:szCs w:val="24"/>
          <w:highlight w:val="none"/>
        </w:rPr>
        <w:t>天内支付咨询费用。</w:t>
      </w:r>
    </w:p>
    <w:p w14:paraId="2F0001B7">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8.4 奖励</w:t>
      </w:r>
    </w:p>
    <w:p w14:paraId="0E94705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合理化建议的奖励金额按下列方法确定为：</w:t>
      </w:r>
    </w:p>
    <w:p w14:paraId="1C03968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奖励金额＝工程投资节省额×奖励金额的比率；</w:t>
      </w:r>
    </w:p>
    <w:p w14:paraId="3508120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奖励金额的比率为</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784C524A">
      <w:pPr>
        <w:adjustRightInd w:val="0"/>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8.6 保密</w:t>
      </w:r>
    </w:p>
    <w:p w14:paraId="1B0DC9C5">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监理人在监理过程中，不得泄露委托人申明的秘密，监理人亦不得泄露设计人、承包人等提供并申明的秘密。</w:t>
      </w:r>
    </w:p>
    <w:p w14:paraId="55F4ACAF">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8.7 履约保证金</w:t>
      </w:r>
    </w:p>
    <w:p w14:paraId="041DD70F">
      <w:pPr>
        <w:spacing w:line="360" w:lineRule="auto"/>
        <w:ind w:firstLine="235" w:firstLineChars="98"/>
        <w:rPr>
          <w:rFonts w:hint="eastAsia" w:ascii="宋体" w:hAnsi="宋体" w:cs="宋体"/>
          <w:color w:val="auto"/>
          <w:sz w:val="24"/>
          <w:szCs w:val="24"/>
          <w:highlight w:val="none"/>
        </w:rPr>
      </w:pPr>
      <w:r>
        <w:rPr>
          <w:rFonts w:hint="eastAsia" w:ascii="宋体" w:hAnsi="宋体" w:cs="宋体"/>
          <w:color w:val="auto"/>
          <w:sz w:val="24"/>
          <w:szCs w:val="24"/>
          <w:highlight w:val="none"/>
        </w:rPr>
        <w:t>合同签订前，监理人向发包人提供合同总价的</w:t>
      </w:r>
      <w:r>
        <w:rPr>
          <w:rFonts w:hint="eastAsia" w:ascii="宋体" w:hAnsi="宋体" w:cs="宋体"/>
          <w:b/>
          <w:color w:val="auto"/>
          <w:sz w:val="24"/>
          <w:szCs w:val="24"/>
          <w:highlight w:val="none"/>
          <w:u w:val="single"/>
        </w:rPr>
        <w:t xml:space="preserve"> 2% </w:t>
      </w:r>
      <w:r>
        <w:rPr>
          <w:rFonts w:hint="eastAsia" w:ascii="宋体" w:hAnsi="宋体" w:cs="宋体"/>
          <w:color w:val="auto"/>
          <w:sz w:val="24"/>
          <w:szCs w:val="24"/>
          <w:highlight w:val="none"/>
        </w:rPr>
        <w:t>作为履约保证金，</w:t>
      </w:r>
      <w:r>
        <w:rPr>
          <w:rFonts w:hint="eastAsia" w:ascii="宋体" w:hAnsi="宋体" w:cs="宋体"/>
          <w:b/>
          <w:bCs/>
          <w:color w:val="auto"/>
          <w:sz w:val="24"/>
          <w:szCs w:val="24"/>
          <w:highlight w:val="none"/>
        </w:rPr>
        <w:t>工程竣工验收合格且无其他违约行为28日内退还保证金</w:t>
      </w:r>
      <w:r>
        <w:rPr>
          <w:rFonts w:hint="eastAsia" w:ascii="宋体" w:hAnsi="宋体" w:cs="宋体"/>
          <w:color w:val="auto"/>
          <w:sz w:val="24"/>
          <w:szCs w:val="24"/>
          <w:highlight w:val="none"/>
        </w:rPr>
        <w:t>。</w:t>
      </w:r>
    </w:p>
    <w:p w14:paraId="1D279D23">
      <w:pPr>
        <w:spacing w:line="360" w:lineRule="auto"/>
        <w:ind w:firstLine="480" w:firstLineChars="200"/>
        <w:rPr>
          <w:rFonts w:hint="eastAsia" w:ascii="宋体" w:hAnsi="宋体" w:cs="宋体"/>
          <w:bCs/>
          <w:color w:val="auto"/>
          <w:sz w:val="24"/>
          <w:szCs w:val="24"/>
          <w:highlight w:val="none"/>
        </w:rPr>
      </w:pPr>
      <w:r>
        <w:rPr>
          <w:rFonts w:hint="eastAsia" w:ascii="宋体" w:hAnsi="宋体" w:cs="宋体"/>
          <w:color w:val="auto"/>
          <w:sz w:val="24"/>
          <w:szCs w:val="24"/>
          <w:highlight w:val="none"/>
        </w:rPr>
        <w:t xml:space="preserve">8.8 </w:t>
      </w:r>
      <w:r>
        <w:rPr>
          <w:rFonts w:hint="eastAsia" w:ascii="宋体" w:hAnsi="宋体" w:cs="宋体"/>
          <w:bCs/>
          <w:color w:val="auto"/>
          <w:sz w:val="24"/>
          <w:szCs w:val="24"/>
          <w:highlight w:val="none"/>
        </w:rPr>
        <w:t>著作权</w:t>
      </w:r>
    </w:p>
    <w:p w14:paraId="55B5BABA">
      <w:pPr>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监理人在本合同履行期间及本合同终止后两年内出版涉及本工程的有关监理与相关服务的资料的限制条件：</w:t>
      </w:r>
      <w:r>
        <w:rPr>
          <w:rFonts w:hint="eastAsia" w:ascii="宋体" w:hAnsi="宋体" w:cs="宋体"/>
          <w:color w:val="auto"/>
          <w:sz w:val="24"/>
          <w:szCs w:val="24"/>
          <w:highlight w:val="none"/>
          <w:u w:val="single"/>
        </w:rPr>
        <w:t xml:space="preserve">  /  </w:t>
      </w:r>
      <w:r>
        <w:rPr>
          <w:rFonts w:hint="eastAsia" w:ascii="宋体" w:hAnsi="宋体" w:cs="宋体"/>
          <w:color w:val="auto"/>
          <w:sz w:val="24"/>
          <w:szCs w:val="24"/>
          <w:highlight w:val="none"/>
        </w:rPr>
        <w:t>。</w:t>
      </w:r>
    </w:p>
    <w:p w14:paraId="50FA5089">
      <w:pPr>
        <w:adjustRightInd w:val="0"/>
        <w:spacing w:line="360" w:lineRule="auto"/>
        <w:ind w:firstLine="426" w:firstLineChars="177"/>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9. 补充条款：</w:t>
      </w:r>
    </w:p>
    <w:p w14:paraId="5604C597">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在项目实施期间，投标文件中明确配备的监理人员必须全员在岗，执行人脸识别考勤并严格执行考勤制度，确保项目总监及现场监理人员每月在岗不少于</w:t>
      </w:r>
      <w:r>
        <w:rPr>
          <w:rFonts w:hint="eastAsia" w:ascii="宋体" w:hAnsi="宋体" w:cs="宋体"/>
          <w:color w:val="auto"/>
          <w:sz w:val="24"/>
          <w:szCs w:val="24"/>
          <w:highlight w:val="none"/>
          <w:lang w:val="en-US" w:eastAsia="zh-CN"/>
        </w:rPr>
        <w:t>26</w:t>
      </w:r>
      <w:r>
        <w:rPr>
          <w:rFonts w:hint="eastAsia" w:ascii="宋体" w:hAnsi="宋体" w:cs="宋体"/>
          <w:color w:val="auto"/>
          <w:sz w:val="24"/>
          <w:szCs w:val="24"/>
          <w:highlight w:val="none"/>
        </w:rPr>
        <w:t>天，总监缺勤一天罚款2000元，其他人员缺勤一天罚款1000元。委托人认为监理人员不满足委托人要求，监理人必须更换监理人员至委托人满意为止；监理人拒不更换，委托人将按每人5000 元/月从监理费中扣除该监理人员的费用。</w:t>
      </w:r>
    </w:p>
    <w:p w14:paraId="227D17BF">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 监理人不得擅自更换项目监理人员，因特殊情况经委托人同意，更换项目总监理工程师，监理人将向委托人承担1万元的违约金；更换其他监理人员，监理人将向委托人承担5000元/人的违约金，更换的监理人员资质应不低于被更换的监理人员资质。未经委托人同意，监理人私自变更监理人，委托人将全额扣除履约保证金，委托人有权解除监理合同，造成的一切损失由监理人承担。若因现场管理人员不满足要求，业主要求更换相关人员的，监理人不得拒绝。</w:t>
      </w:r>
    </w:p>
    <w:p w14:paraId="522E0E61">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9.3 合同实施期间，如发现承包人弄虚作假、偷工减料，不按图纸及规范施工等违规行为，监理未及时进行处理的，招标人有权对监理人进行相应的处罚。</w:t>
      </w:r>
    </w:p>
    <w:p w14:paraId="020B4A32">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9.4 施工过程中，监理人根据现场情况，结合招投标文件，据实签署签证，否则将扣除监理人履约保证金，所导致的一切后果，由监理人承担。</w:t>
      </w:r>
    </w:p>
    <w:p w14:paraId="5C518ECC">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9.5 监理人在签订合同前需缴纳履约保证金。</w:t>
      </w:r>
    </w:p>
    <w:p w14:paraId="0379BB80">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9.6 将农民工工资专用账户支付情况纳入监理日志内容。监理人须严格按投标文件的承诺履约，如有一项承诺在项目实施时不能按投标文件进行履约，则全部履约保证金不予退还，并按未兑现的承诺每有一项承担合同价 5%的违约金。</w:t>
      </w:r>
    </w:p>
    <w:p w14:paraId="270A5E1F">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9.7 监理人按周向委托人书面通报工程进度、质量、投资、安全、文明施工和工程变更、工程资料的监控情况，及时处理现场问题，重大问题及时向委托人汇报并提出书面处理意见或建议。</w:t>
      </w:r>
    </w:p>
    <w:p w14:paraId="5C306F12">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9.8 施工现场的变更签证（包括工期、造价变更、经济签证）等应得到委托人书面同意后方可生效。监理人现场要签证需项目总监理工程师签署，并加盖监理人法人章。</w:t>
      </w:r>
    </w:p>
    <w:p w14:paraId="55AF3735">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9.9 监理人与承包人串通，弄虚作假，降低工程质量，在不合格的工程验收单、建筑材料、建筑构件、配件和设备单按合格签验的，委托人可随时要求监理人更换监理工程师或总监，监理人需承担更换监理人员的违约金，并按照《建设工程质量管理条例》规定追究监理人责任，同时委托人有权解除合同，因此造成的损失由监理人承担。</w:t>
      </w:r>
    </w:p>
    <w:p w14:paraId="55D4A598">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9.10 监理人每月20日应组织月度工程进度进行验收，23日前按经验收合格的实际工程进度做好月度工程量的审核工作交委托人审核，并将当月工程相关资料一并归档，不得后补。工程竣工验收后30日内监理人应向委托人提交2套（一正一负）完整监理资料，包括不限于：监理日志、监理规划、监理实施细则、监理质量评估等。如监理人不提供监理资料或资料不齐全、不规范，并在规定的时间内仍未整改完善按时提交的，监理人将向委托人承担2000元的违约金，委托人有权从监理费中直接扣除。</w:t>
      </w:r>
    </w:p>
    <w:p w14:paraId="6962E136">
      <w:pPr>
        <w:adjustRightInd w:val="0"/>
        <w:spacing w:line="360" w:lineRule="auto"/>
        <w:ind w:firstLine="424" w:firstLineChars="177"/>
        <w:rPr>
          <w:rFonts w:hint="eastAsia" w:ascii="宋体" w:hAnsi="宋体" w:cs="宋体"/>
          <w:strike w:val="0"/>
          <w:dstrike w:val="0"/>
          <w:color w:val="auto"/>
          <w:sz w:val="24"/>
          <w:szCs w:val="24"/>
          <w:highlight w:val="none"/>
        </w:rPr>
      </w:pPr>
      <w:r>
        <w:rPr>
          <w:rFonts w:hint="eastAsia" w:ascii="宋体" w:hAnsi="宋体" w:cs="宋体"/>
          <w:color w:val="auto"/>
          <w:sz w:val="24"/>
          <w:szCs w:val="24"/>
          <w:highlight w:val="none"/>
        </w:rPr>
        <w:t xml:space="preserve">9.11 </w:t>
      </w:r>
      <w:r>
        <w:rPr>
          <w:rFonts w:hint="eastAsia" w:ascii="宋体" w:hAnsi="宋体" w:cs="宋体"/>
          <w:strike w:val="0"/>
          <w:dstrike w:val="0"/>
          <w:color w:val="auto"/>
          <w:sz w:val="24"/>
          <w:szCs w:val="24"/>
          <w:highlight w:val="none"/>
        </w:rPr>
        <w:t>监理人必须严格控制工程进度。</w:t>
      </w:r>
    </w:p>
    <w:p w14:paraId="0BB81DB1">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9.12 监理人在进行竣工预验收时，对影响结构安全和使用功能的部位进行重点检验，形成预验文件。对检查出来的质量问题要督促承包人限期整改到位。工程竣工验收移交后，在保修期内发现影响使用功能的质量问题，监理人应督促承包人整改，否则扣减监理人剩余监理费用的10%。</w:t>
      </w:r>
    </w:p>
    <w:p w14:paraId="4EDE6D67">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9.13 监理人要加强对质量通病的控制，关键施工节点、重点部位，监理人要全程旁站，逐个检查，做好检查台帐，并标记检查人和时间。</w:t>
      </w:r>
    </w:p>
    <w:p w14:paraId="3B46A668">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9.14 委托人对施工过程中给承包人的任何指令、变更、签证等，须同时告知监理人，并由监理人下达书面文件，委托人签字确认。</w:t>
      </w:r>
    </w:p>
    <w:p w14:paraId="20FAE45D">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9.15 委托人及其上级主管部门关于工程建设质量、工期、安全文明施工等管理办法及规定是本合同的附件，与本合同有同等效力。</w:t>
      </w:r>
    </w:p>
    <w:p w14:paraId="6AFE923E">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9.16 在委托人及上级主管部门的检查中，如监理人原因本项目被通报处理的，监理人将向委托人承担10000元/次的违约金。</w:t>
      </w:r>
    </w:p>
    <w:p w14:paraId="304C5E80">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9.17 监理单位负责该工程施工扬尘污染防治工作监理责任，督促施工单位按照要求做好施工扬尘污染防治工作，监理单位施工污染防治工作负责人: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9EC098B">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9.18 工程监理档案资料归档要求执行铜陵市档案局（铜档【2017】52 号）等有关单位的规定，产生的费用包含在监理费中。</w:t>
      </w:r>
    </w:p>
    <w:p w14:paraId="7ADB85F6">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9.19</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监理部人员每天必须在岗，节假日（春节除外）必须有专人在岗。</w:t>
      </w:r>
    </w:p>
    <w:p w14:paraId="50F6FD6C">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9.20</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施工期间如有夜间施工，监理部必须有专人在岗，监理费用不再增加计取。</w:t>
      </w:r>
    </w:p>
    <w:p w14:paraId="514B0977">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9.21</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监理单位在申请支付监理费时必须提供监理员和总监理工程师到岗履职考勤表，否则，招标人有权拒付监理费。</w:t>
      </w:r>
    </w:p>
    <w:p w14:paraId="6266049F">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9.22</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监理人提供的履约保证金为合同价款的 2%，合同签订前向委托人缴纳，多规合一竣工验收合格后28日内无息退还。（施工期间若发生安全、质量事故，监理人履约保证金不予退还）。</w:t>
      </w:r>
    </w:p>
    <w:p w14:paraId="6BAFDF3B">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9.23</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监理人按投标书承诺的人员组建监理部，监理部人员必须按照本合同文件约定的时间在岗履职；没有经过委托人的书面同意，工程竣工验收前，不更换监理部人员，否则接受委托人处罚。</w:t>
      </w:r>
    </w:p>
    <w:p w14:paraId="4ACE2D97">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9.24</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本工程如出现延误工期，监理费用不再增加计取。 监理人须经过建设单位授权才能实施的权限：图纸变更权、与经济有关的确认权、开工令、停工令、施工单位项目组成人员变更权限。监理单位在审核施工单位提供的正式经济签证文书前，施工单位必须提供建设单位现场确认的原始记录，否则，监理单位不能在正式经济签证文书上签字盖章。正式经济签证文书必须经总监理工程师签字确认并加盖监理单位法人章。</w:t>
      </w:r>
    </w:p>
    <w:p w14:paraId="172A14E4">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9.25</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招标公告及其附件、投标文件视同合同的组成部分，招标公告及其附件相较于投标文件，具体优先解释权。</w:t>
      </w:r>
    </w:p>
    <w:p w14:paraId="4A214BCF">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9.26</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本工程中</w:t>
      </w:r>
      <w:r>
        <w:rPr>
          <w:rFonts w:hint="eastAsia" w:ascii="宋体" w:hAnsi="宋体" w:cs="宋体"/>
          <w:color w:val="auto"/>
          <w:sz w:val="24"/>
          <w:szCs w:val="24"/>
          <w:highlight w:val="none"/>
          <w:lang w:val="en-US" w:eastAsia="zh-CN"/>
        </w:rPr>
        <w:t>如有</w:t>
      </w:r>
      <w:r>
        <w:rPr>
          <w:rFonts w:hint="eastAsia" w:ascii="宋体" w:hAnsi="宋体" w:cs="宋体"/>
          <w:color w:val="auto"/>
          <w:sz w:val="24"/>
          <w:szCs w:val="24"/>
          <w:highlight w:val="none"/>
        </w:rPr>
        <w:t>涉及地质灾害治理监理内容的，投标人中标后，若中标人不具备地质灾害治理工程监理相应资质条件的，中标人应专业分包给具备地质灾害治理工程监理相应资质条件的单位，并确保通过国土（自然资源）部门验收，中标人承担总承包责任且招标人不承担任何费用。</w:t>
      </w:r>
    </w:p>
    <w:p w14:paraId="3A0667DF">
      <w:pPr>
        <w:adjustRightInd w:val="0"/>
        <w:spacing w:line="360" w:lineRule="auto"/>
        <w:ind w:firstLine="424" w:firstLineChars="177"/>
        <w:rPr>
          <w:rFonts w:hint="eastAsia" w:ascii="宋体" w:hAnsi="宋体" w:cs="宋体"/>
          <w:color w:val="auto"/>
          <w:sz w:val="24"/>
          <w:szCs w:val="24"/>
          <w:highlight w:val="none"/>
        </w:rPr>
      </w:pPr>
      <w:r>
        <w:rPr>
          <w:rFonts w:hint="eastAsia" w:ascii="宋体" w:hAnsi="宋体" w:cs="宋体"/>
          <w:color w:val="auto"/>
          <w:sz w:val="24"/>
          <w:szCs w:val="24"/>
          <w:highlight w:val="none"/>
        </w:rPr>
        <w:t>9.27 监理人的中标监理费率不因工程量的增减和政策性调整而改变。在本合同执行完毕、工程竣工验收、结算</w:t>
      </w:r>
      <w:r>
        <w:rPr>
          <w:rFonts w:hint="eastAsia" w:ascii="宋体" w:hAnsi="宋体" w:cs="宋体"/>
          <w:color w:val="auto"/>
          <w:sz w:val="24"/>
          <w:szCs w:val="24"/>
          <w:highlight w:val="none"/>
          <w:lang w:eastAsia="zh-CN"/>
        </w:rPr>
        <w:t>审核</w:t>
      </w:r>
      <w:r>
        <w:rPr>
          <w:rFonts w:hint="eastAsia" w:ascii="宋体" w:hAnsi="宋体" w:cs="宋体"/>
          <w:color w:val="auto"/>
          <w:sz w:val="24"/>
          <w:szCs w:val="24"/>
          <w:highlight w:val="none"/>
        </w:rPr>
        <w:t>后，中标价为最终监理费用结算价（供气、供水工程不计监理费,若需监理，免费全面监理）。注此处根据中标标段结合本招标文件，中标后修改。</w:t>
      </w:r>
    </w:p>
    <w:p w14:paraId="35C855D3">
      <w:pPr>
        <w:adjustRightInd w:val="0"/>
        <w:spacing w:line="360" w:lineRule="auto"/>
        <w:ind w:firstLine="424" w:firstLineChars="177"/>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9.28 监理人现场出现履职不到位、不作为等情形的，委托人将下发工程管理通知单，第一次下发工程管理通知单责令监理人限期整改；第二次下发工程管理通知单，监理人须更换现场监理工程师并完成整改，同时监理人应向委托人支付违约金人民币10000元。更换监理工程师后，委托人第三次下发工程管理通知单责令整改；当委托人第四次下发工程管理通知单时，将视为监理人未按合同履约，委托人即刻解除本监理合同。合同解除后，监理服务费按监理人已实际完成合格工程量造价×中标监理费率×50%予以结算，履约保证金不予退还，并将本次履约情况上报招投标及行业主管部门。</w:t>
      </w:r>
    </w:p>
    <w:p w14:paraId="45380E51">
      <w:pPr>
        <w:adjustRightInd w:val="0"/>
        <w:spacing w:line="360" w:lineRule="auto"/>
        <w:ind w:firstLine="426" w:firstLineChars="177"/>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9.2</w:t>
      </w:r>
      <w:r>
        <w:rPr>
          <w:rFonts w:hint="eastAsia" w:ascii="宋体" w:hAnsi="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 xml:space="preserve"> 补充监理服务内容和要求:</w:t>
      </w:r>
    </w:p>
    <w:p w14:paraId="248373A4">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1、协助委托人办理外围工作；协助委托人审核施工图的设计和概(预)算,参与主持组织图纸会审,做好记录,写出会审纪要。</w:t>
      </w:r>
    </w:p>
    <w:p w14:paraId="5190911E">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2、参与委托人与施工单位签定施工合同,审核施工进度计划，并在实施过程中检查、督促施工单位严格按合同和施工规范、工程技术标准、设计要求进行施工，监督施工单位现场施工管理。</w:t>
      </w:r>
    </w:p>
    <w:p w14:paraId="065A384B">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3、协助委托人做好开工前准备，审批开工报告，复核测量数据，经招标人同意下达开工令。</w:t>
      </w:r>
    </w:p>
    <w:p w14:paraId="5245C480">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4、审批施工组织设计，审查和检查施工技术措施、质量保证体系及安全防护措施，提出合理的整改意见和建议。</w:t>
      </w:r>
    </w:p>
    <w:p w14:paraId="534D2A94">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5、审查施工单位采购清单，检查工程使用材料、构件、设备的规格、质量与数量。督促施工单位编制材料的供需计划，协助委托人安排甲供材料的供应计划。</w:t>
      </w:r>
    </w:p>
    <w:p w14:paraId="71F749D7">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6、主持施工图技术交底，参与施工现场验收及设计变更的签证，及时审核施工变更工程量。</w:t>
      </w:r>
    </w:p>
    <w:p w14:paraId="681F3901">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7、主持召开工程协调会议及综合管线协调会议，主持召开工程协调会议并做好会议纪要，调解有关工程建设各种合同争议，处理索赔事项。</w:t>
      </w:r>
    </w:p>
    <w:p w14:paraId="6434C9BE">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8、检查安全防护措施和文明施工,检查督促工程进度、施工质量。</w:t>
      </w:r>
    </w:p>
    <w:p w14:paraId="7DE27E7C">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9、督促施工单位及时整理技术资料及竣工验收资料。</w:t>
      </w:r>
    </w:p>
    <w:p w14:paraId="3DAFAB2A">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10、协助委托人对工程投资进行控制，对施工单位提出的付款申请进行审核。</w:t>
      </w:r>
    </w:p>
    <w:p w14:paraId="27612B1E">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11、参与审核工程结算，协助委托人审核工程造价，努力降低工程费用。</w:t>
      </w:r>
    </w:p>
    <w:p w14:paraId="6726E332">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12、及时提供完整的监理资料，定期编制监理简报。</w:t>
      </w:r>
    </w:p>
    <w:p w14:paraId="7A5A5445">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13、履行其他法律、法规规定的监理职责义务，提供其他可免费提供的监理服务。</w:t>
      </w:r>
    </w:p>
    <w:p w14:paraId="0002F261">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14、协助委托人组织进行交工验收及竣工验收。</w:t>
      </w:r>
    </w:p>
    <w:p w14:paraId="692B8AE5">
      <w:pPr>
        <w:adjustRightInd w:val="0"/>
        <w:spacing w:line="360" w:lineRule="auto"/>
        <w:ind w:firstLine="424" w:firstLineChars="1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15、每周组织参建各方召开工程例会，对工程质量、安全、成本、进度各方面情况进行通报，形成文字材料。</w:t>
      </w:r>
    </w:p>
    <w:p w14:paraId="7CA3A391">
      <w:pPr>
        <w:adjustRightInd w:val="0"/>
        <w:spacing w:line="360" w:lineRule="auto"/>
        <w:ind w:firstLine="424" w:firstLineChars="177"/>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16、完成监理规范要求的其他工作内容</w:t>
      </w:r>
      <w:r>
        <w:rPr>
          <w:rFonts w:hint="eastAsia" w:ascii="宋体" w:hAnsi="宋体" w:eastAsia="宋体" w:cs="宋体"/>
          <w:color w:val="auto"/>
          <w:sz w:val="24"/>
          <w:szCs w:val="24"/>
          <w:highlight w:val="none"/>
          <w:lang w:eastAsia="zh-CN"/>
        </w:rPr>
        <w:t>。</w:t>
      </w:r>
    </w:p>
    <w:p w14:paraId="3E13021F">
      <w:pPr>
        <w:adjustRightInd w:val="0"/>
        <w:spacing w:line="360" w:lineRule="auto"/>
        <w:rPr>
          <w:rFonts w:hint="eastAsia" w:ascii="宋体" w:hAnsi="宋体" w:cs="宋体"/>
          <w:b/>
          <w:color w:val="auto"/>
          <w:sz w:val="24"/>
          <w:szCs w:val="24"/>
          <w:highlight w:val="none"/>
        </w:rPr>
      </w:pPr>
    </w:p>
    <w:p w14:paraId="0CEA022D">
      <w:pPr>
        <w:adjustRightInd w:val="0"/>
        <w:spacing w:line="360" w:lineRule="auto"/>
        <w:ind w:firstLine="241" w:firstLineChars="100"/>
        <w:rPr>
          <w:rFonts w:hint="eastAsia" w:ascii="宋体" w:hAnsi="宋体" w:cs="宋体"/>
          <w:b/>
          <w:color w:val="auto"/>
          <w:sz w:val="24"/>
          <w:szCs w:val="24"/>
          <w:highlight w:val="none"/>
        </w:rPr>
      </w:pPr>
    </w:p>
    <w:p w14:paraId="5DAD0AD7">
      <w:pPr>
        <w:adjustRightInd w:val="0"/>
        <w:spacing w:line="360" w:lineRule="auto"/>
        <w:ind w:firstLine="241" w:firstLineChars="100"/>
        <w:rPr>
          <w:rFonts w:hint="eastAsia" w:ascii="宋体" w:hAnsi="宋体" w:cs="宋体"/>
          <w:b/>
          <w:color w:val="auto"/>
          <w:sz w:val="24"/>
          <w:szCs w:val="24"/>
          <w:highlight w:val="none"/>
        </w:rPr>
      </w:pPr>
      <w:r>
        <w:rPr>
          <w:rFonts w:hint="eastAsia" w:ascii="宋体" w:hAnsi="宋体" w:cs="宋体"/>
          <w:b/>
          <w:color w:val="auto"/>
          <w:sz w:val="24"/>
          <w:szCs w:val="24"/>
          <w:highlight w:val="none"/>
        </w:rPr>
        <w:t>附件</w:t>
      </w:r>
    </w:p>
    <w:p w14:paraId="5ACEE60E">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附件1：监理人员配备表</w:t>
      </w:r>
    </w:p>
    <w:p w14:paraId="306A1321">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附件2：监理人投入本工程检测仪器、设备汇总表</w:t>
      </w:r>
    </w:p>
    <w:p w14:paraId="5B339839">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附件3：廉洁协议</w:t>
      </w:r>
    </w:p>
    <w:p w14:paraId="1CBC2EA0">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附件4: 承包范围总平面图</w:t>
      </w:r>
    </w:p>
    <w:p w14:paraId="686CA338">
      <w:pPr>
        <w:adjustRightInd w:val="0"/>
        <w:spacing w:line="360" w:lineRule="auto"/>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附件5：《技术及管理标准》以委托人另行提供为准</w:t>
      </w:r>
    </w:p>
    <w:p w14:paraId="4E9816AE">
      <w:pPr>
        <w:adjustRightInd w:val="0"/>
        <w:ind w:firstLine="211" w:firstLineChars="100"/>
        <w:rPr>
          <w:rFonts w:hint="eastAsia" w:ascii="仿宋" w:hAnsi="仿宋" w:eastAsia="仿宋"/>
          <w:b/>
          <w:color w:val="auto"/>
          <w:szCs w:val="24"/>
          <w:highlight w:val="none"/>
        </w:rPr>
      </w:pPr>
    </w:p>
    <w:p w14:paraId="5DDF08A1">
      <w:pPr>
        <w:adjustRightInd w:val="0"/>
        <w:spacing w:line="360" w:lineRule="auto"/>
        <w:ind w:firstLine="241" w:firstLineChars="100"/>
        <w:rPr>
          <w:rFonts w:hint="eastAsia" w:ascii="宋体" w:hAnsi="宋体" w:cs="宋体"/>
          <w:b/>
          <w:color w:val="auto"/>
          <w:sz w:val="24"/>
          <w:szCs w:val="24"/>
          <w:highlight w:val="none"/>
        </w:rPr>
      </w:pPr>
      <w:r>
        <w:rPr>
          <w:rFonts w:hint="eastAsia" w:ascii="宋体" w:hAnsi="宋体" w:cs="宋体"/>
          <w:b/>
          <w:color w:val="auto"/>
          <w:sz w:val="24"/>
          <w:szCs w:val="24"/>
          <w:highlight w:val="none"/>
        </w:rPr>
        <w:t>附件1：</w:t>
      </w:r>
    </w:p>
    <w:p w14:paraId="25095E47">
      <w:pPr>
        <w:adjustRightInd w:val="0"/>
        <w:spacing w:line="360" w:lineRule="auto"/>
        <w:ind w:firstLine="241" w:firstLineChars="100"/>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派驻本项目的监理人员一览表</w:t>
      </w:r>
    </w:p>
    <w:p w14:paraId="4783143A">
      <w:pPr>
        <w:adjustRightInd w:val="0"/>
        <w:spacing w:line="360" w:lineRule="auto"/>
        <w:ind w:firstLine="241" w:firstLineChars="100"/>
        <w:rPr>
          <w:rFonts w:hint="eastAsia" w:ascii="宋体" w:hAnsi="宋体" w:cs="宋体"/>
          <w:b/>
          <w:color w:val="auto"/>
          <w:sz w:val="24"/>
          <w:szCs w:val="24"/>
          <w:highlight w:val="none"/>
        </w:rPr>
      </w:pPr>
      <w:r>
        <w:rPr>
          <w:rFonts w:hint="eastAsia" w:ascii="宋体" w:hAnsi="宋体" w:cs="宋体"/>
          <w:b/>
          <w:color w:val="auto"/>
          <w:sz w:val="24"/>
          <w:szCs w:val="24"/>
          <w:highlight w:val="none"/>
        </w:rPr>
        <w:t>工程名称：</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059"/>
        <w:gridCol w:w="1060"/>
        <w:gridCol w:w="1060"/>
        <w:gridCol w:w="1060"/>
        <w:gridCol w:w="1060"/>
        <w:gridCol w:w="1060"/>
        <w:gridCol w:w="1060"/>
        <w:gridCol w:w="1060"/>
      </w:tblGrid>
      <w:tr w14:paraId="2F49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1059" w:type="dxa"/>
            <w:noWrap w:val="0"/>
            <w:vAlign w:val="center"/>
          </w:tcPr>
          <w:p w14:paraId="707D0FB9">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姓名</w:t>
            </w:r>
          </w:p>
        </w:tc>
        <w:tc>
          <w:tcPr>
            <w:tcW w:w="1059" w:type="dxa"/>
            <w:noWrap w:val="0"/>
            <w:vAlign w:val="center"/>
          </w:tcPr>
          <w:p w14:paraId="160376AD">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本工程拟任岗位</w:t>
            </w:r>
          </w:p>
        </w:tc>
        <w:tc>
          <w:tcPr>
            <w:tcW w:w="1060" w:type="dxa"/>
            <w:noWrap w:val="0"/>
            <w:vAlign w:val="center"/>
          </w:tcPr>
          <w:p w14:paraId="3F247803">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年龄</w:t>
            </w:r>
          </w:p>
        </w:tc>
        <w:tc>
          <w:tcPr>
            <w:tcW w:w="1060" w:type="dxa"/>
            <w:noWrap w:val="0"/>
            <w:vAlign w:val="center"/>
          </w:tcPr>
          <w:p w14:paraId="64FE2648">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性别</w:t>
            </w:r>
          </w:p>
        </w:tc>
        <w:tc>
          <w:tcPr>
            <w:tcW w:w="1060" w:type="dxa"/>
            <w:noWrap w:val="0"/>
            <w:vAlign w:val="center"/>
          </w:tcPr>
          <w:p w14:paraId="55CE119D">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专业</w:t>
            </w:r>
          </w:p>
        </w:tc>
        <w:tc>
          <w:tcPr>
            <w:tcW w:w="1060" w:type="dxa"/>
            <w:noWrap w:val="0"/>
            <w:vAlign w:val="center"/>
          </w:tcPr>
          <w:p w14:paraId="20BC4615">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岗位年限</w:t>
            </w:r>
          </w:p>
        </w:tc>
        <w:tc>
          <w:tcPr>
            <w:tcW w:w="1060" w:type="dxa"/>
            <w:noWrap w:val="0"/>
            <w:vAlign w:val="center"/>
          </w:tcPr>
          <w:p w14:paraId="1C7EBB00">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职称</w:t>
            </w:r>
          </w:p>
        </w:tc>
        <w:tc>
          <w:tcPr>
            <w:tcW w:w="1060" w:type="dxa"/>
            <w:noWrap w:val="0"/>
            <w:vAlign w:val="center"/>
          </w:tcPr>
          <w:p w14:paraId="75D75C9F">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在岗阶段</w:t>
            </w:r>
          </w:p>
        </w:tc>
        <w:tc>
          <w:tcPr>
            <w:tcW w:w="1060" w:type="dxa"/>
            <w:noWrap w:val="0"/>
            <w:vAlign w:val="center"/>
          </w:tcPr>
          <w:p w14:paraId="2996776F">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在岗时间</w:t>
            </w:r>
          </w:p>
        </w:tc>
      </w:tr>
      <w:tr w14:paraId="3AF2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059" w:type="dxa"/>
            <w:noWrap w:val="0"/>
            <w:vAlign w:val="top"/>
          </w:tcPr>
          <w:p w14:paraId="73EB0479">
            <w:pPr>
              <w:adjustRightInd w:val="0"/>
              <w:spacing w:line="360" w:lineRule="auto"/>
              <w:jc w:val="center"/>
              <w:rPr>
                <w:rFonts w:hint="eastAsia" w:ascii="宋体" w:hAnsi="宋体" w:cs="宋体"/>
                <w:b/>
                <w:color w:val="auto"/>
                <w:sz w:val="24"/>
                <w:szCs w:val="24"/>
                <w:highlight w:val="none"/>
              </w:rPr>
            </w:pPr>
          </w:p>
        </w:tc>
        <w:tc>
          <w:tcPr>
            <w:tcW w:w="1059" w:type="dxa"/>
            <w:noWrap w:val="0"/>
            <w:vAlign w:val="top"/>
          </w:tcPr>
          <w:p w14:paraId="152E5A85">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01270D47">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1329978C">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223033DE">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3DED9BC5">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39DB1ABD">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6D39E78D">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6AD05291">
            <w:pPr>
              <w:adjustRightInd w:val="0"/>
              <w:spacing w:line="360" w:lineRule="auto"/>
              <w:jc w:val="center"/>
              <w:rPr>
                <w:rFonts w:hint="eastAsia" w:ascii="宋体" w:hAnsi="宋体" w:cs="宋体"/>
                <w:b/>
                <w:color w:val="auto"/>
                <w:sz w:val="24"/>
                <w:szCs w:val="24"/>
                <w:highlight w:val="none"/>
              </w:rPr>
            </w:pPr>
          </w:p>
        </w:tc>
      </w:tr>
      <w:tr w14:paraId="73B8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059" w:type="dxa"/>
            <w:noWrap w:val="0"/>
            <w:vAlign w:val="top"/>
          </w:tcPr>
          <w:p w14:paraId="68E16359">
            <w:pPr>
              <w:adjustRightInd w:val="0"/>
              <w:spacing w:line="360" w:lineRule="auto"/>
              <w:jc w:val="center"/>
              <w:rPr>
                <w:rFonts w:hint="eastAsia" w:ascii="宋体" w:hAnsi="宋体" w:cs="宋体"/>
                <w:b/>
                <w:color w:val="auto"/>
                <w:sz w:val="24"/>
                <w:szCs w:val="24"/>
                <w:highlight w:val="none"/>
              </w:rPr>
            </w:pPr>
          </w:p>
        </w:tc>
        <w:tc>
          <w:tcPr>
            <w:tcW w:w="1059" w:type="dxa"/>
            <w:noWrap w:val="0"/>
            <w:vAlign w:val="top"/>
          </w:tcPr>
          <w:p w14:paraId="511FDE1F">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29968E01">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570FCAD7">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1B49E6AC">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2555CC10">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1D79BDF6">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117F8C14">
            <w:pPr>
              <w:adjustRightInd w:val="0"/>
              <w:spacing w:line="360" w:lineRule="auto"/>
              <w:jc w:val="center"/>
              <w:rPr>
                <w:rFonts w:hint="eastAsia" w:ascii="宋体" w:hAnsi="宋体" w:cs="宋体"/>
                <w:b/>
                <w:color w:val="auto"/>
                <w:sz w:val="24"/>
                <w:szCs w:val="24"/>
                <w:highlight w:val="none"/>
              </w:rPr>
            </w:pPr>
          </w:p>
        </w:tc>
        <w:tc>
          <w:tcPr>
            <w:tcW w:w="1060" w:type="dxa"/>
            <w:noWrap w:val="0"/>
            <w:vAlign w:val="top"/>
          </w:tcPr>
          <w:p w14:paraId="4F7923B6">
            <w:pPr>
              <w:adjustRightInd w:val="0"/>
              <w:spacing w:line="360" w:lineRule="auto"/>
              <w:jc w:val="center"/>
              <w:rPr>
                <w:rFonts w:hint="eastAsia" w:ascii="宋体" w:hAnsi="宋体" w:cs="宋体"/>
                <w:b/>
                <w:color w:val="auto"/>
                <w:sz w:val="24"/>
                <w:szCs w:val="24"/>
                <w:highlight w:val="none"/>
              </w:rPr>
            </w:pPr>
          </w:p>
        </w:tc>
      </w:tr>
      <w:tr w14:paraId="0AE4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9538" w:type="dxa"/>
            <w:gridSpan w:val="9"/>
            <w:noWrap w:val="0"/>
            <w:vAlign w:val="top"/>
          </w:tcPr>
          <w:p w14:paraId="1B15D8BD">
            <w:pPr>
              <w:adjustRightInd w:val="0"/>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该表格可根据实际情况自行增补</w:t>
            </w:r>
          </w:p>
        </w:tc>
      </w:tr>
    </w:tbl>
    <w:p w14:paraId="1AA775E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注：列入本表人员如要更换，需经招标人单位同意。擅自更换或不到位属违约行为。如人员不能满足现场管理要求，甲方可要求乙方调整或增加相应的管理人员，以满足现场施工管理要求，相应费用乙方需作综合考虑，不另计取。</w:t>
      </w:r>
    </w:p>
    <w:p w14:paraId="02A929C2">
      <w:pPr>
        <w:adjustRightInd w:val="0"/>
        <w:spacing w:line="360" w:lineRule="auto"/>
        <w:ind w:firstLine="480" w:firstLineChars="200"/>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监理人：      （盖单位章）</w:t>
      </w:r>
    </w:p>
    <w:p w14:paraId="78A68041">
      <w:pPr>
        <w:adjustRightInd w:val="0"/>
        <w:spacing w:line="360" w:lineRule="auto"/>
        <w:ind w:firstLine="480" w:firstLineChars="200"/>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日  期：    年   月   日</w:t>
      </w:r>
    </w:p>
    <w:p w14:paraId="6459F4D1">
      <w:pPr>
        <w:adjustRightInd w:val="0"/>
        <w:spacing w:line="360" w:lineRule="auto"/>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附件2：</w:t>
      </w:r>
    </w:p>
    <w:p w14:paraId="22A8E874">
      <w:pPr>
        <w:adjustRightInd w:val="0"/>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监理投入本工程检测仪器、设备汇总表</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711"/>
        <w:gridCol w:w="1711"/>
        <w:gridCol w:w="2034"/>
        <w:gridCol w:w="2351"/>
      </w:tblGrid>
      <w:tr w14:paraId="5690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711" w:type="dxa"/>
            <w:noWrap w:val="0"/>
            <w:vAlign w:val="center"/>
          </w:tcPr>
          <w:p w14:paraId="703729FC">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序号</w:t>
            </w:r>
          </w:p>
        </w:tc>
        <w:tc>
          <w:tcPr>
            <w:tcW w:w="1711" w:type="dxa"/>
            <w:noWrap w:val="0"/>
            <w:vAlign w:val="center"/>
          </w:tcPr>
          <w:p w14:paraId="093714C4">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仪器、设备名称</w:t>
            </w:r>
          </w:p>
        </w:tc>
        <w:tc>
          <w:tcPr>
            <w:tcW w:w="1711" w:type="dxa"/>
            <w:noWrap w:val="0"/>
            <w:vAlign w:val="center"/>
          </w:tcPr>
          <w:p w14:paraId="2FCCE744">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规格、型号</w:t>
            </w:r>
          </w:p>
        </w:tc>
        <w:tc>
          <w:tcPr>
            <w:tcW w:w="2034" w:type="dxa"/>
            <w:noWrap w:val="0"/>
            <w:vAlign w:val="center"/>
          </w:tcPr>
          <w:p w14:paraId="3E2265DB">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数量</w:t>
            </w:r>
          </w:p>
        </w:tc>
        <w:tc>
          <w:tcPr>
            <w:tcW w:w="2351" w:type="dxa"/>
            <w:noWrap w:val="0"/>
            <w:vAlign w:val="center"/>
          </w:tcPr>
          <w:p w14:paraId="7A260707">
            <w:pPr>
              <w:adjustRightInd w:val="0"/>
              <w:spacing w:line="360" w:lineRule="auto"/>
              <w:jc w:val="center"/>
              <w:rPr>
                <w:rFonts w:hint="eastAsia" w:ascii="宋体" w:hAnsi="宋体" w:cs="宋体"/>
                <w:b/>
                <w:color w:val="auto"/>
                <w:sz w:val="24"/>
                <w:szCs w:val="24"/>
                <w:highlight w:val="none"/>
              </w:rPr>
            </w:pPr>
            <w:r>
              <w:rPr>
                <w:rFonts w:hint="eastAsia" w:ascii="宋体" w:hAnsi="宋体" w:cs="宋体"/>
                <w:color w:val="auto"/>
                <w:sz w:val="24"/>
                <w:szCs w:val="24"/>
                <w:highlight w:val="none"/>
              </w:rPr>
              <w:t>备注</w:t>
            </w:r>
          </w:p>
        </w:tc>
      </w:tr>
      <w:tr w14:paraId="36570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711" w:type="dxa"/>
            <w:noWrap w:val="0"/>
            <w:vAlign w:val="center"/>
          </w:tcPr>
          <w:p w14:paraId="63712872">
            <w:pPr>
              <w:pStyle w:val="66"/>
              <w:numPr>
                <w:ilvl w:val="0"/>
                <w:numId w:val="2"/>
              </w:numPr>
              <w:adjustRightInd w:val="0"/>
              <w:spacing w:line="360" w:lineRule="auto"/>
              <w:jc w:val="center"/>
              <w:rPr>
                <w:rFonts w:hint="eastAsia" w:ascii="宋体" w:hAnsi="宋体" w:cs="宋体"/>
                <w:color w:val="auto"/>
                <w:sz w:val="24"/>
                <w:szCs w:val="24"/>
                <w:highlight w:val="none"/>
              </w:rPr>
            </w:pPr>
          </w:p>
        </w:tc>
        <w:tc>
          <w:tcPr>
            <w:tcW w:w="1711" w:type="dxa"/>
            <w:noWrap w:val="0"/>
            <w:vAlign w:val="center"/>
          </w:tcPr>
          <w:p w14:paraId="1ABD30B1">
            <w:pPr>
              <w:adjustRightInd w:val="0"/>
              <w:spacing w:line="360" w:lineRule="auto"/>
              <w:jc w:val="center"/>
              <w:rPr>
                <w:rFonts w:hint="eastAsia" w:ascii="宋体" w:hAnsi="宋体" w:cs="宋体"/>
                <w:b/>
                <w:color w:val="auto"/>
                <w:sz w:val="24"/>
                <w:szCs w:val="24"/>
                <w:highlight w:val="none"/>
              </w:rPr>
            </w:pPr>
          </w:p>
        </w:tc>
        <w:tc>
          <w:tcPr>
            <w:tcW w:w="1711" w:type="dxa"/>
            <w:noWrap w:val="0"/>
            <w:vAlign w:val="center"/>
          </w:tcPr>
          <w:p w14:paraId="6B758341">
            <w:pPr>
              <w:adjustRightInd w:val="0"/>
              <w:spacing w:line="360" w:lineRule="auto"/>
              <w:jc w:val="center"/>
              <w:rPr>
                <w:rFonts w:hint="eastAsia" w:ascii="宋体" w:hAnsi="宋体" w:cs="宋体"/>
                <w:b/>
                <w:color w:val="auto"/>
                <w:sz w:val="24"/>
                <w:szCs w:val="24"/>
                <w:highlight w:val="none"/>
              </w:rPr>
            </w:pPr>
          </w:p>
        </w:tc>
        <w:tc>
          <w:tcPr>
            <w:tcW w:w="2034" w:type="dxa"/>
            <w:noWrap w:val="0"/>
            <w:vAlign w:val="center"/>
          </w:tcPr>
          <w:p w14:paraId="4061F104">
            <w:pPr>
              <w:adjustRightInd w:val="0"/>
              <w:spacing w:line="360" w:lineRule="auto"/>
              <w:jc w:val="center"/>
              <w:rPr>
                <w:rFonts w:hint="eastAsia" w:ascii="宋体" w:hAnsi="宋体" w:cs="宋体"/>
                <w:b/>
                <w:color w:val="auto"/>
                <w:sz w:val="24"/>
                <w:szCs w:val="24"/>
                <w:highlight w:val="none"/>
              </w:rPr>
            </w:pPr>
          </w:p>
        </w:tc>
        <w:tc>
          <w:tcPr>
            <w:tcW w:w="2351" w:type="dxa"/>
            <w:vMerge w:val="restart"/>
            <w:noWrap w:val="0"/>
            <w:vAlign w:val="center"/>
          </w:tcPr>
          <w:p w14:paraId="15EC4656">
            <w:pPr>
              <w:adjustRightInd w:val="0"/>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常驻现场</w:t>
            </w:r>
          </w:p>
        </w:tc>
      </w:tr>
      <w:tr w14:paraId="1923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711" w:type="dxa"/>
            <w:noWrap w:val="0"/>
            <w:vAlign w:val="center"/>
          </w:tcPr>
          <w:p w14:paraId="30100CD5">
            <w:pPr>
              <w:pStyle w:val="66"/>
              <w:numPr>
                <w:ilvl w:val="0"/>
                <w:numId w:val="2"/>
              </w:numPr>
              <w:adjustRightInd w:val="0"/>
              <w:spacing w:line="360" w:lineRule="auto"/>
              <w:jc w:val="center"/>
              <w:rPr>
                <w:rFonts w:hint="eastAsia" w:ascii="宋体" w:hAnsi="宋体" w:cs="宋体"/>
                <w:color w:val="auto"/>
                <w:sz w:val="24"/>
                <w:szCs w:val="24"/>
                <w:highlight w:val="none"/>
              </w:rPr>
            </w:pPr>
          </w:p>
        </w:tc>
        <w:tc>
          <w:tcPr>
            <w:tcW w:w="1711" w:type="dxa"/>
            <w:noWrap w:val="0"/>
            <w:vAlign w:val="center"/>
          </w:tcPr>
          <w:p w14:paraId="393FC58D">
            <w:pPr>
              <w:adjustRightInd w:val="0"/>
              <w:spacing w:line="360" w:lineRule="auto"/>
              <w:jc w:val="center"/>
              <w:rPr>
                <w:rFonts w:hint="eastAsia" w:ascii="宋体" w:hAnsi="宋体" w:cs="宋体"/>
                <w:b/>
                <w:color w:val="auto"/>
                <w:sz w:val="24"/>
                <w:szCs w:val="24"/>
                <w:highlight w:val="none"/>
              </w:rPr>
            </w:pPr>
          </w:p>
        </w:tc>
        <w:tc>
          <w:tcPr>
            <w:tcW w:w="1711" w:type="dxa"/>
            <w:noWrap w:val="0"/>
            <w:vAlign w:val="center"/>
          </w:tcPr>
          <w:p w14:paraId="6541CF8C">
            <w:pPr>
              <w:adjustRightInd w:val="0"/>
              <w:spacing w:line="360" w:lineRule="auto"/>
              <w:jc w:val="center"/>
              <w:rPr>
                <w:rFonts w:hint="eastAsia" w:ascii="宋体" w:hAnsi="宋体" w:cs="宋体"/>
                <w:b/>
                <w:color w:val="auto"/>
                <w:sz w:val="24"/>
                <w:szCs w:val="24"/>
                <w:highlight w:val="none"/>
              </w:rPr>
            </w:pPr>
          </w:p>
        </w:tc>
        <w:tc>
          <w:tcPr>
            <w:tcW w:w="2034" w:type="dxa"/>
            <w:noWrap w:val="0"/>
            <w:vAlign w:val="center"/>
          </w:tcPr>
          <w:p w14:paraId="0E249B7D">
            <w:pPr>
              <w:adjustRightInd w:val="0"/>
              <w:spacing w:line="360" w:lineRule="auto"/>
              <w:jc w:val="center"/>
              <w:rPr>
                <w:rFonts w:hint="eastAsia" w:ascii="宋体" w:hAnsi="宋体" w:cs="宋体"/>
                <w:b/>
                <w:color w:val="auto"/>
                <w:sz w:val="24"/>
                <w:szCs w:val="24"/>
                <w:highlight w:val="none"/>
              </w:rPr>
            </w:pPr>
          </w:p>
        </w:tc>
        <w:tc>
          <w:tcPr>
            <w:tcW w:w="2351" w:type="dxa"/>
            <w:vMerge w:val="continue"/>
            <w:noWrap w:val="0"/>
            <w:vAlign w:val="center"/>
          </w:tcPr>
          <w:p w14:paraId="0355E243">
            <w:pPr>
              <w:adjustRightInd w:val="0"/>
              <w:spacing w:line="360" w:lineRule="auto"/>
              <w:jc w:val="center"/>
              <w:rPr>
                <w:rFonts w:hint="eastAsia" w:ascii="宋体" w:hAnsi="宋体" w:cs="宋体"/>
                <w:b/>
                <w:color w:val="auto"/>
                <w:sz w:val="24"/>
                <w:szCs w:val="24"/>
                <w:highlight w:val="none"/>
              </w:rPr>
            </w:pPr>
          </w:p>
        </w:tc>
      </w:tr>
      <w:tr w14:paraId="653E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711" w:type="dxa"/>
            <w:noWrap w:val="0"/>
            <w:vAlign w:val="center"/>
          </w:tcPr>
          <w:p w14:paraId="1462567A">
            <w:pPr>
              <w:pStyle w:val="66"/>
              <w:numPr>
                <w:ilvl w:val="0"/>
                <w:numId w:val="2"/>
              </w:numPr>
              <w:adjustRightInd w:val="0"/>
              <w:spacing w:line="360" w:lineRule="auto"/>
              <w:jc w:val="center"/>
              <w:rPr>
                <w:rFonts w:hint="eastAsia" w:ascii="宋体" w:hAnsi="宋体" w:cs="宋体"/>
                <w:color w:val="auto"/>
                <w:sz w:val="24"/>
                <w:szCs w:val="24"/>
                <w:highlight w:val="none"/>
              </w:rPr>
            </w:pPr>
          </w:p>
        </w:tc>
        <w:tc>
          <w:tcPr>
            <w:tcW w:w="1711" w:type="dxa"/>
            <w:noWrap w:val="0"/>
            <w:vAlign w:val="center"/>
          </w:tcPr>
          <w:p w14:paraId="340A97A4">
            <w:pPr>
              <w:adjustRightInd w:val="0"/>
              <w:spacing w:line="360" w:lineRule="auto"/>
              <w:jc w:val="center"/>
              <w:rPr>
                <w:rFonts w:hint="eastAsia" w:ascii="宋体" w:hAnsi="宋体" w:cs="宋体"/>
                <w:b/>
                <w:color w:val="auto"/>
                <w:sz w:val="24"/>
                <w:szCs w:val="24"/>
                <w:highlight w:val="none"/>
              </w:rPr>
            </w:pPr>
          </w:p>
        </w:tc>
        <w:tc>
          <w:tcPr>
            <w:tcW w:w="1711" w:type="dxa"/>
            <w:noWrap w:val="0"/>
            <w:vAlign w:val="center"/>
          </w:tcPr>
          <w:p w14:paraId="0A2CB7CC">
            <w:pPr>
              <w:adjustRightInd w:val="0"/>
              <w:spacing w:line="360" w:lineRule="auto"/>
              <w:jc w:val="center"/>
              <w:rPr>
                <w:rFonts w:hint="eastAsia" w:ascii="宋体" w:hAnsi="宋体" w:cs="宋体"/>
                <w:b/>
                <w:color w:val="auto"/>
                <w:sz w:val="24"/>
                <w:szCs w:val="24"/>
                <w:highlight w:val="none"/>
              </w:rPr>
            </w:pPr>
          </w:p>
        </w:tc>
        <w:tc>
          <w:tcPr>
            <w:tcW w:w="2034" w:type="dxa"/>
            <w:noWrap w:val="0"/>
            <w:vAlign w:val="center"/>
          </w:tcPr>
          <w:p w14:paraId="2601E8AC">
            <w:pPr>
              <w:adjustRightInd w:val="0"/>
              <w:spacing w:line="360" w:lineRule="auto"/>
              <w:jc w:val="center"/>
              <w:rPr>
                <w:rFonts w:hint="eastAsia" w:ascii="宋体" w:hAnsi="宋体" w:cs="宋体"/>
                <w:b/>
                <w:color w:val="auto"/>
                <w:sz w:val="24"/>
                <w:szCs w:val="24"/>
                <w:highlight w:val="none"/>
              </w:rPr>
            </w:pPr>
          </w:p>
        </w:tc>
        <w:tc>
          <w:tcPr>
            <w:tcW w:w="2351" w:type="dxa"/>
            <w:vMerge w:val="restart"/>
            <w:noWrap w:val="0"/>
            <w:vAlign w:val="center"/>
          </w:tcPr>
          <w:p w14:paraId="394E6469">
            <w:pPr>
              <w:adjustRightInd w:val="0"/>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根据工程、委托人需要及时送到现场</w:t>
            </w:r>
          </w:p>
        </w:tc>
      </w:tr>
      <w:tr w14:paraId="00B7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711" w:type="dxa"/>
            <w:noWrap w:val="0"/>
            <w:vAlign w:val="center"/>
          </w:tcPr>
          <w:p w14:paraId="03E51BDC">
            <w:pPr>
              <w:pStyle w:val="66"/>
              <w:numPr>
                <w:ilvl w:val="0"/>
                <w:numId w:val="2"/>
              </w:numPr>
              <w:adjustRightInd w:val="0"/>
              <w:spacing w:line="360" w:lineRule="auto"/>
              <w:jc w:val="center"/>
              <w:rPr>
                <w:rFonts w:hint="eastAsia" w:ascii="宋体" w:hAnsi="宋体" w:cs="宋体"/>
                <w:color w:val="auto"/>
                <w:sz w:val="24"/>
                <w:szCs w:val="24"/>
                <w:highlight w:val="none"/>
              </w:rPr>
            </w:pPr>
          </w:p>
        </w:tc>
        <w:tc>
          <w:tcPr>
            <w:tcW w:w="1711" w:type="dxa"/>
            <w:noWrap w:val="0"/>
            <w:vAlign w:val="center"/>
          </w:tcPr>
          <w:p w14:paraId="4671BDF9">
            <w:pPr>
              <w:adjustRightInd w:val="0"/>
              <w:spacing w:line="360" w:lineRule="auto"/>
              <w:jc w:val="center"/>
              <w:rPr>
                <w:rFonts w:hint="eastAsia" w:ascii="宋体" w:hAnsi="宋体" w:cs="宋体"/>
                <w:b/>
                <w:color w:val="auto"/>
                <w:sz w:val="24"/>
                <w:szCs w:val="24"/>
                <w:highlight w:val="none"/>
              </w:rPr>
            </w:pPr>
          </w:p>
        </w:tc>
        <w:tc>
          <w:tcPr>
            <w:tcW w:w="1711" w:type="dxa"/>
            <w:noWrap w:val="0"/>
            <w:vAlign w:val="center"/>
          </w:tcPr>
          <w:p w14:paraId="28AC27AF">
            <w:pPr>
              <w:adjustRightInd w:val="0"/>
              <w:spacing w:line="360" w:lineRule="auto"/>
              <w:jc w:val="center"/>
              <w:rPr>
                <w:rFonts w:hint="eastAsia" w:ascii="宋体" w:hAnsi="宋体" w:cs="宋体"/>
                <w:b/>
                <w:color w:val="auto"/>
                <w:sz w:val="24"/>
                <w:szCs w:val="24"/>
                <w:highlight w:val="none"/>
              </w:rPr>
            </w:pPr>
          </w:p>
        </w:tc>
        <w:tc>
          <w:tcPr>
            <w:tcW w:w="2034" w:type="dxa"/>
            <w:noWrap w:val="0"/>
            <w:vAlign w:val="center"/>
          </w:tcPr>
          <w:p w14:paraId="5F51256A">
            <w:pPr>
              <w:adjustRightInd w:val="0"/>
              <w:spacing w:line="360" w:lineRule="auto"/>
              <w:jc w:val="center"/>
              <w:rPr>
                <w:rFonts w:hint="eastAsia" w:ascii="宋体" w:hAnsi="宋体" w:cs="宋体"/>
                <w:b/>
                <w:color w:val="auto"/>
                <w:sz w:val="24"/>
                <w:szCs w:val="24"/>
                <w:highlight w:val="none"/>
              </w:rPr>
            </w:pPr>
          </w:p>
        </w:tc>
        <w:tc>
          <w:tcPr>
            <w:tcW w:w="2351" w:type="dxa"/>
            <w:vMerge w:val="continue"/>
            <w:noWrap w:val="0"/>
            <w:vAlign w:val="top"/>
          </w:tcPr>
          <w:p w14:paraId="4002EA64">
            <w:pPr>
              <w:adjustRightInd w:val="0"/>
              <w:spacing w:line="360" w:lineRule="auto"/>
              <w:jc w:val="center"/>
              <w:rPr>
                <w:rFonts w:hint="eastAsia" w:ascii="宋体" w:hAnsi="宋体" w:cs="宋体"/>
                <w:b/>
                <w:color w:val="auto"/>
                <w:sz w:val="24"/>
                <w:szCs w:val="24"/>
                <w:highlight w:val="none"/>
              </w:rPr>
            </w:pPr>
          </w:p>
        </w:tc>
      </w:tr>
    </w:tbl>
    <w:p w14:paraId="178BE0D9">
      <w:pPr>
        <w:rPr>
          <w:rFonts w:hint="eastAsia" w:ascii="宋体" w:hAnsi="宋体" w:cs="宋体"/>
          <w:b/>
          <w:color w:val="auto"/>
          <w:sz w:val="24"/>
          <w:szCs w:val="24"/>
          <w:highlight w:val="none"/>
        </w:rPr>
      </w:pPr>
      <w:r>
        <w:rPr>
          <w:rFonts w:hint="eastAsia" w:ascii="宋体" w:hAnsi="宋体" w:cs="宋体"/>
          <w:b/>
          <w:color w:val="auto"/>
          <w:sz w:val="24"/>
          <w:szCs w:val="24"/>
          <w:highlight w:val="none"/>
        </w:rPr>
        <w:br w:type="page"/>
      </w:r>
    </w:p>
    <w:p w14:paraId="62123885">
      <w:pPr>
        <w:adjustRightInd w:val="0"/>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附件3：</w:t>
      </w:r>
    </w:p>
    <w:p w14:paraId="6F5C162C">
      <w:pPr>
        <w:adjustRightInd w:val="0"/>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廉洁协议</w:t>
      </w:r>
    </w:p>
    <w:p w14:paraId="2AEFDE26">
      <w:pPr>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建设单位（甲方）：</w:t>
      </w:r>
    </w:p>
    <w:p w14:paraId="12FCB46F">
      <w:pPr>
        <w:adjustRightIn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监理人（乙方）：</w:t>
      </w:r>
    </w:p>
    <w:p w14:paraId="4160280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为了加强工程项目建设中的廉政管理，确保工程项目高效优质按时竣工投产，防止发生各种谋取不正当利益的违法违纪行为，保护国家、集体和当事人的合法权益，经双方同意签订廉政管理协议书并作为甲乙双方共同遵守的廉政行为准则。</w:t>
      </w:r>
    </w:p>
    <w:p w14:paraId="0E7C398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第一条 甲乙双方的责任</w:t>
      </w:r>
    </w:p>
    <w:p w14:paraId="00B61E12">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（一）应严格遵守国家关于市场准入、项目招标投标、工程建设、工程监理和市场活动的有关法律、法规，相关政策，以及廉政建设的各项规定。</w:t>
      </w:r>
    </w:p>
    <w:p w14:paraId="29780E1A">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（二）严格执行建设工程项目咨询合同文件，自觉按合同办事。</w:t>
      </w:r>
    </w:p>
    <w:p w14:paraId="6FFE9E1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（三）业务活动必须坚持公开、公平、公正、诚信、透明的原则（除法律法规另有规定者外），不得为获取不正当的利益，损害国家、集体和对方利益，不得违反工程建设管理、建设监理的规章制度。</w:t>
      </w:r>
    </w:p>
    <w:p w14:paraId="731BF9E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（四）发现对方在业务活动中有违规、违纪、违法行为的，应及时提醒对方，情节严重的，应向其上级主管部门或纪检监察、司法等有关机关举报。</w:t>
      </w:r>
    </w:p>
    <w:p w14:paraId="7964347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第二条 甲方的责任</w:t>
      </w:r>
    </w:p>
    <w:p w14:paraId="5276527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甲方的领导和从事该建设工程项目的工作人员，在工程建设的事前、事中、事后应遵守以下规定：</w:t>
      </w:r>
    </w:p>
    <w:p w14:paraId="2C92C51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（一）不准向乙方和相关单位索要或接收回扣、礼金、有价证券、贵重物品和好处费、感谢费等。</w:t>
      </w:r>
    </w:p>
    <w:p w14:paraId="42BD1D3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（二）不准在乙方和相关单位报销任何应由甲方或个人支付的费用。</w:t>
      </w:r>
    </w:p>
    <w:p w14:paraId="5D4C0B40">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（三）不准要求、暗示或接受乙方和相关单位为个人装修住房、婚丧、娶嫁、配偶子女的工作安排以及出国（境）、旅游等提供方便。</w:t>
      </w:r>
    </w:p>
    <w:p w14:paraId="6CAB77C9">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（四）不准参加有可能影响公正执行公务的乙方和相关单位的宴请、健身、娱乐等活动。</w:t>
      </w:r>
    </w:p>
    <w:p w14:paraId="6077A5E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（五）不准向乙方和相关单位介绍或为配偶、子女、亲属参与同甲方项目工程咨询合同有关业务活动。不得以任何理由要求乙方和相关单位在设计中使用某种产品、材料和设备。</w:t>
      </w:r>
    </w:p>
    <w:p w14:paraId="653B952B">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第三条 乙方的责任</w:t>
      </w:r>
    </w:p>
    <w:p w14:paraId="063442E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应与甲方保持正常的业务交往，按照有关法律法规和程序开展业务工作，严格执行工程建设的有关方针、政策，并遵守以下规定：</w:t>
      </w:r>
    </w:p>
    <w:p w14:paraId="38D2025C">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（一）不准以任何理由向甲方及其工作人员索要、接受或赠送礼金、有价证券、贵重物品及回扣、好处费、感谢费等。</w:t>
      </w:r>
    </w:p>
    <w:p w14:paraId="31846EF1">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（二）不准以任何理由为甲方和相关单位报销应由对方或个人支付的费用。</w:t>
      </w:r>
    </w:p>
    <w:p w14:paraId="3DC37F16">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（三）不准接受或暗示为甲方、相关单位为个人装修住房、婚丧、娶嫁、配偶子女的工作安排以及出国（境）、旅游等提供方便。</w:t>
      </w:r>
    </w:p>
    <w:p w14:paraId="6F5B3D78">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（四）不准以任何理由为甲方、相关单位或个人组织有可能影响公正执行公务的乙方和相关单位的宴请、健身、娱乐等活动。</w:t>
      </w:r>
    </w:p>
    <w:p w14:paraId="6277D8B2">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第四条 违约责任</w:t>
      </w:r>
    </w:p>
    <w:p w14:paraId="681B2CE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甲方工作人员有违反本责任书第一、第二条责任行为的，按照管理权限，依据有关法律法规和规定给予党纪、政纪处分或组织处理；涉嫌犯罪的，移交司法机关追究刑事责任；给乙方单位造成经济损失的，应予以赔偿。</w:t>
      </w:r>
    </w:p>
    <w:p w14:paraId="7FD3B887">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69261F25">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第五条 本责任书作为工程咨询合同的附件，与工程咨询合同具有同等法律效力。经双方签署后立即生效。</w:t>
      </w:r>
    </w:p>
    <w:p w14:paraId="40C25E23">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第六条 本责任书的有效期限为双方签署之日起至该合同履约结束时止。</w:t>
      </w:r>
    </w:p>
    <w:p w14:paraId="235C94FE">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第七条 本责任书一式四份，由甲乙双方各执一份，送交甲乙双方的监督单位各一份。</w:t>
      </w:r>
    </w:p>
    <w:p w14:paraId="440EED39">
      <w:pPr>
        <w:adjustRightInd w:val="0"/>
        <w:spacing w:line="360" w:lineRule="auto"/>
        <w:ind w:firstLine="480" w:firstLineChars="200"/>
        <w:rPr>
          <w:rFonts w:hint="eastAsia" w:ascii="宋体" w:hAnsi="宋体" w:cs="宋体"/>
          <w:color w:val="auto"/>
          <w:sz w:val="24"/>
          <w:szCs w:val="24"/>
          <w:highlight w:val="none"/>
        </w:rPr>
      </w:pPr>
    </w:p>
    <w:p w14:paraId="29BA958E">
      <w:pPr>
        <w:adjustRightInd w:val="0"/>
        <w:spacing w:line="360" w:lineRule="auto"/>
        <w:ind w:firstLine="849" w:firstLineChars="354"/>
        <w:rPr>
          <w:rFonts w:hint="eastAsia" w:ascii="宋体" w:hAnsi="宋体" w:cs="宋体"/>
          <w:color w:val="auto"/>
          <w:sz w:val="24"/>
          <w:szCs w:val="24"/>
          <w:highlight w:val="none"/>
        </w:rPr>
      </w:pPr>
      <w:r>
        <w:rPr>
          <w:rFonts w:hint="eastAsia" w:ascii="宋体" w:hAnsi="宋体" w:cs="宋体"/>
          <w:color w:val="auto"/>
          <w:sz w:val="24"/>
          <w:szCs w:val="24"/>
          <w:highlight w:val="none"/>
        </w:rPr>
        <w:t>甲方单位：（盖章）            乙方单位：（盖章）</w:t>
      </w:r>
    </w:p>
    <w:p w14:paraId="120E36D2">
      <w:pPr>
        <w:adjustRightInd w:val="0"/>
        <w:spacing w:line="360" w:lineRule="auto"/>
        <w:ind w:firstLine="849" w:firstLineChars="354"/>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                  法定代表人：</w:t>
      </w:r>
    </w:p>
    <w:p w14:paraId="0E45ACBE">
      <w:pPr>
        <w:adjustRightInd w:val="0"/>
        <w:spacing w:line="360" w:lineRule="auto"/>
        <w:ind w:firstLine="849" w:firstLineChars="354"/>
        <w:rPr>
          <w:rFonts w:hint="eastAsia" w:ascii="宋体" w:hAnsi="宋体" w:cs="宋体"/>
          <w:color w:val="auto"/>
          <w:sz w:val="24"/>
          <w:szCs w:val="24"/>
          <w:highlight w:val="none"/>
        </w:rPr>
      </w:pPr>
      <w:r>
        <w:rPr>
          <w:rFonts w:hint="eastAsia" w:ascii="宋体" w:hAnsi="宋体" w:cs="宋体"/>
          <w:color w:val="auto"/>
          <w:sz w:val="24"/>
          <w:szCs w:val="24"/>
          <w:highlight w:val="none"/>
        </w:rPr>
        <w:t>地址：                        地址：</w:t>
      </w:r>
    </w:p>
    <w:p w14:paraId="0CA887AB">
      <w:pPr>
        <w:adjustRightInd w:val="0"/>
        <w:spacing w:line="360" w:lineRule="auto"/>
        <w:ind w:firstLine="849" w:firstLineChars="354"/>
        <w:rPr>
          <w:rFonts w:hint="eastAsia" w:ascii="宋体" w:hAnsi="宋体" w:cs="宋体"/>
          <w:color w:val="auto"/>
          <w:sz w:val="24"/>
          <w:szCs w:val="24"/>
          <w:highlight w:val="none"/>
        </w:rPr>
      </w:pPr>
      <w:r>
        <w:rPr>
          <w:rFonts w:hint="eastAsia" w:ascii="宋体" w:hAnsi="宋体" w:cs="宋体"/>
          <w:color w:val="auto"/>
          <w:sz w:val="24"/>
          <w:szCs w:val="24"/>
          <w:highlight w:val="none"/>
        </w:rPr>
        <w:t>电话：                        电话：</w:t>
      </w:r>
    </w:p>
    <w:p w14:paraId="48CC3C86">
      <w:pPr>
        <w:adjustRightInd w:val="0"/>
        <w:spacing w:line="360" w:lineRule="auto"/>
        <w:ind w:firstLine="849" w:firstLineChars="354"/>
        <w:rPr>
          <w:rFonts w:hint="eastAsia" w:ascii="宋体" w:hAnsi="宋体" w:cs="宋体"/>
          <w:color w:val="auto"/>
          <w:sz w:val="24"/>
          <w:szCs w:val="24"/>
          <w:highlight w:val="none"/>
        </w:rPr>
      </w:pPr>
      <w:r>
        <w:rPr>
          <w:rFonts w:hint="eastAsia" w:ascii="宋体" w:hAnsi="宋体" w:cs="宋体"/>
          <w:color w:val="auto"/>
          <w:sz w:val="24"/>
          <w:szCs w:val="24"/>
          <w:highlight w:val="none"/>
        </w:rPr>
        <w:t>年 月 日                      年 月 日</w:t>
      </w:r>
    </w:p>
    <w:p w14:paraId="099C5B50">
      <w:pPr>
        <w:adjustRightInd w:val="0"/>
        <w:spacing w:line="360" w:lineRule="auto"/>
        <w:ind w:firstLine="849" w:firstLineChars="354"/>
        <w:rPr>
          <w:rFonts w:hint="eastAsia" w:ascii="宋体" w:hAnsi="宋体" w:cs="宋体"/>
          <w:color w:val="auto"/>
          <w:sz w:val="24"/>
          <w:szCs w:val="24"/>
          <w:highlight w:val="none"/>
        </w:rPr>
      </w:pPr>
    </w:p>
    <w:p w14:paraId="30CA507B">
      <w:pPr>
        <w:adjustRightInd w:val="0"/>
        <w:spacing w:line="360" w:lineRule="auto"/>
        <w:rPr>
          <w:rFonts w:hint="eastAsia" w:ascii="宋体" w:hAnsi="宋体" w:cs="宋体"/>
          <w:b/>
          <w:bCs/>
          <w:color w:val="auto"/>
          <w:sz w:val="24"/>
          <w:szCs w:val="24"/>
          <w:highlight w:val="none"/>
        </w:rPr>
      </w:pPr>
    </w:p>
    <w:p w14:paraId="1AA08D8B">
      <w:pPr>
        <w:adjustRightInd w:val="0"/>
        <w:spacing w:line="360" w:lineRule="auto"/>
        <w:rPr>
          <w:rFonts w:hint="eastAsia" w:ascii="宋体" w:hAnsi="宋体" w:cs="宋体"/>
          <w:b/>
          <w:bCs/>
          <w:color w:val="auto"/>
          <w:sz w:val="24"/>
          <w:szCs w:val="24"/>
          <w:highlight w:val="none"/>
        </w:rPr>
      </w:pPr>
    </w:p>
    <w:p w14:paraId="0405A08F">
      <w:pPr>
        <w:adjustRightInd w:val="0"/>
        <w:spacing w:line="360" w:lineRule="auto"/>
        <w:rPr>
          <w:rFonts w:hint="eastAsia" w:ascii="宋体" w:hAnsi="宋体" w:cs="宋体"/>
          <w:b/>
          <w:bCs/>
          <w:color w:val="auto"/>
          <w:sz w:val="24"/>
          <w:szCs w:val="24"/>
          <w:highlight w:val="none"/>
        </w:rPr>
      </w:pPr>
    </w:p>
    <w:p w14:paraId="62F550B5">
      <w:pPr>
        <w:adjustRightInd w:val="0"/>
        <w:spacing w:line="360" w:lineRule="auto"/>
        <w:rPr>
          <w:rFonts w:hint="eastAsia" w:ascii="宋体" w:hAnsi="宋体" w:cs="宋体"/>
          <w:b/>
          <w:bCs/>
          <w:color w:val="auto"/>
          <w:sz w:val="24"/>
          <w:szCs w:val="24"/>
          <w:highlight w:val="none"/>
        </w:rPr>
      </w:pPr>
    </w:p>
    <w:p w14:paraId="001CFCD9">
      <w:pPr>
        <w:adjustRightInd w:val="0"/>
        <w:spacing w:line="360" w:lineRule="auto"/>
        <w:rPr>
          <w:rFonts w:hint="eastAsia" w:ascii="宋体" w:hAnsi="宋体" w:cs="宋体"/>
          <w:b/>
          <w:bCs/>
          <w:color w:val="auto"/>
          <w:sz w:val="24"/>
          <w:szCs w:val="24"/>
          <w:highlight w:val="none"/>
        </w:rPr>
      </w:pPr>
    </w:p>
    <w:p w14:paraId="658F5664">
      <w:pPr>
        <w:adjustRightInd w:val="0"/>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附录A  相关服务的范围和内容</w:t>
      </w:r>
    </w:p>
    <w:p w14:paraId="6F706CA6">
      <w:pPr>
        <w:spacing w:before="156" w:beforeLines="50" w:after="156" w:afterLines="50" w:line="360" w:lineRule="auto"/>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A-1 勘察阶段：</w:t>
      </w:r>
      <w:r>
        <w:rPr>
          <w:rFonts w:hint="eastAsia" w:ascii="宋体" w:hAnsi="宋体" w:cs="宋体"/>
          <w:color w:val="auto"/>
          <w:sz w:val="24"/>
          <w:szCs w:val="24"/>
          <w:highlight w:val="none"/>
          <w:u w:val="single"/>
        </w:rPr>
        <w:t xml:space="preserve">                                        </w:t>
      </w:r>
    </w:p>
    <w:p w14:paraId="4C27DF80">
      <w:pPr>
        <w:spacing w:before="156" w:beforeLines="50" w:after="156" w:afterLines="5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08063643">
      <w:pPr>
        <w:spacing w:before="156" w:beforeLines="50" w:after="156" w:afterLines="50" w:line="360" w:lineRule="auto"/>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A-2 设计阶段：</w:t>
      </w:r>
      <w:r>
        <w:rPr>
          <w:rFonts w:hint="eastAsia" w:ascii="宋体" w:hAnsi="宋体" w:cs="宋体"/>
          <w:color w:val="auto"/>
          <w:sz w:val="24"/>
          <w:szCs w:val="24"/>
          <w:highlight w:val="none"/>
          <w:u w:val="single"/>
        </w:rPr>
        <w:t xml:space="preserve">                                </w:t>
      </w:r>
    </w:p>
    <w:p w14:paraId="07BB40B4">
      <w:pPr>
        <w:spacing w:before="156" w:beforeLines="50" w:after="156" w:afterLines="5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DC4FE47">
      <w:pPr>
        <w:spacing w:before="156" w:beforeLines="50" w:after="156" w:afterLines="50" w:line="360" w:lineRule="auto"/>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A-3 保修阶段：</w:t>
      </w:r>
      <w:r>
        <w:rPr>
          <w:rFonts w:hint="eastAsia" w:ascii="宋体" w:hAnsi="宋体" w:cs="宋体"/>
          <w:color w:val="auto"/>
          <w:sz w:val="24"/>
          <w:szCs w:val="24"/>
          <w:highlight w:val="none"/>
          <w:u w:val="single"/>
        </w:rPr>
        <w:t xml:space="preserve">                                                      </w:t>
      </w:r>
    </w:p>
    <w:p w14:paraId="20020115">
      <w:pPr>
        <w:spacing w:before="156" w:beforeLines="50" w:after="156" w:afterLines="5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75269972">
      <w:pPr>
        <w:ind w:firstLine="960" w:firstLineChars="400"/>
        <w:rPr>
          <w:rFonts w:hint="eastAsia" w:ascii="宋体" w:hAnsi="宋体" w:cs="宋体"/>
          <w:b/>
          <w:color w:val="auto"/>
          <w:sz w:val="32"/>
          <w:szCs w:val="32"/>
          <w:highlight w:val="none"/>
        </w:rPr>
      </w:pPr>
      <w:r>
        <w:rPr>
          <w:rFonts w:hint="eastAsia" w:ascii="宋体" w:hAnsi="宋体" w:cs="宋体"/>
          <w:color w:val="auto"/>
          <w:sz w:val="24"/>
          <w:szCs w:val="24"/>
          <w:highlight w:val="none"/>
        </w:rPr>
        <w:t>A-4 其他（专业技术咨询、外部协调工作等）：</w:t>
      </w:r>
      <w:r>
        <w:rPr>
          <w:rFonts w:hint="eastAsia" w:ascii="宋体" w:hAnsi="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工程开工前施工单位报送的资料审批、施工过程中工程质量、安全、成本、进度控制；安全文明施工管理、施工过程资料的收集整理归档审批，工程过程验收管理、隐蔽工程验收和工程量的确认、工程竣工后监理资料的移交、协助委托人办理竣工验收和竣工</w:t>
      </w:r>
      <w:r>
        <w:rPr>
          <w:rFonts w:hint="eastAsia" w:ascii="宋体" w:hAnsi="宋体" w:cs="宋体"/>
          <w:color w:val="auto"/>
          <w:sz w:val="24"/>
          <w:szCs w:val="24"/>
          <w:highlight w:val="none"/>
          <w:u w:val="single"/>
          <w:lang w:eastAsia="zh-CN"/>
        </w:rPr>
        <w:t>审核</w:t>
      </w:r>
      <w:r>
        <w:rPr>
          <w:rFonts w:hint="eastAsia" w:ascii="宋体" w:hAnsi="宋体" w:eastAsia="宋体" w:cs="宋体"/>
          <w:color w:val="auto"/>
          <w:sz w:val="24"/>
          <w:szCs w:val="24"/>
          <w:highlight w:val="none"/>
          <w:u w:val="single"/>
        </w:rPr>
        <w:t xml:space="preserve">工作等，监理单位须和施工单位同步进场同步退场 </w:t>
      </w:r>
      <w:r>
        <w:rPr>
          <w:rFonts w:ascii="宋体" w:hAnsi="宋体" w:eastAsia="宋体" w:cs="宋体"/>
          <w:color w:val="auto"/>
          <w:spacing w:val="9"/>
          <w:sz w:val="20"/>
          <w:szCs w:val="20"/>
          <w:highlight w:val="none"/>
        </w:rPr>
        <w:t>。</w:t>
      </w:r>
    </w:p>
    <w:p w14:paraId="0E6133D4">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66541BCE">
      <w:pPr>
        <w:spacing w:line="5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第五部分    技术说明</w:t>
      </w:r>
    </w:p>
    <w:p w14:paraId="129773B9">
      <w:pPr>
        <w:spacing w:line="400" w:lineRule="exact"/>
        <w:jc w:val="center"/>
        <w:rPr>
          <w:rFonts w:ascii="宋体" w:hAnsi="宋体" w:cs="宋体"/>
          <w:b/>
          <w:color w:val="auto"/>
          <w:sz w:val="32"/>
          <w:szCs w:val="32"/>
          <w:highlight w:val="none"/>
        </w:rPr>
      </w:pPr>
    </w:p>
    <w:p w14:paraId="35AD083C">
      <w:pPr>
        <w:spacing w:line="400" w:lineRule="exact"/>
        <w:jc w:val="center"/>
        <w:rPr>
          <w:rFonts w:ascii="宋体" w:hAnsi="宋体" w:cs="宋体"/>
          <w:color w:val="auto"/>
          <w:sz w:val="32"/>
          <w:szCs w:val="32"/>
          <w:highlight w:val="none"/>
        </w:rPr>
      </w:pPr>
      <w:r>
        <w:rPr>
          <w:rFonts w:hint="eastAsia" w:ascii="宋体" w:hAnsi="宋体" w:cs="宋体"/>
          <w:color w:val="auto"/>
          <w:sz w:val="32"/>
          <w:szCs w:val="32"/>
          <w:highlight w:val="none"/>
        </w:rPr>
        <w:t>（略）</w:t>
      </w:r>
    </w:p>
    <w:p w14:paraId="3CAFE4B8">
      <w:pPr>
        <w:spacing w:line="400" w:lineRule="exact"/>
        <w:jc w:val="center"/>
        <w:rPr>
          <w:rFonts w:ascii="宋体" w:hAnsi="宋体" w:cs="宋体"/>
          <w:b/>
          <w:color w:val="auto"/>
          <w:sz w:val="32"/>
          <w:szCs w:val="32"/>
          <w:highlight w:val="none"/>
        </w:rPr>
      </w:pPr>
    </w:p>
    <w:p w14:paraId="655AEFF0">
      <w:pPr>
        <w:spacing w:line="400" w:lineRule="exact"/>
        <w:jc w:val="both"/>
        <w:rPr>
          <w:rFonts w:ascii="宋体" w:hAnsi="宋体" w:cs="宋体"/>
          <w:b/>
          <w:color w:val="auto"/>
          <w:sz w:val="32"/>
          <w:szCs w:val="32"/>
          <w:highlight w:val="none"/>
        </w:rPr>
      </w:pPr>
    </w:p>
    <w:p w14:paraId="7CF8BB9B">
      <w:pPr>
        <w:spacing w:line="4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 xml:space="preserve">第六部分  施工图纸及勘察资料  </w:t>
      </w:r>
    </w:p>
    <w:p w14:paraId="762E9622">
      <w:pPr>
        <w:spacing w:line="400" w:lineRule="exact"/>
        <w:jc w:val="both"/>
        <w:rPr>
          <w:rFonts w:hint="eastAsia" w:ascii="宋体" w:hAnsi="宋体" w:cs="宋体"/>
          <w:b/>
          <w:color w:val="auto"/>
          <w:sz w:val="28"/>
          <w:szCs w:val="28"/>
          <w:highlight w:val="none"/>
        </w:rPr>
      </w:pPr>
    </w:p>
    <w:p w14:paraId="3581BEC8">
      <w:pPr>
        <w:spacing w:line="40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（电子版）</w:t>
      </w:r>
    </w:p>
    <w:p w14:paraId="6FBCE6EC">
      <w:pPr>
        <w:spacing w:line="400" w:lineRule="exact"/>
        <w:jc w:val="center"/>
        <w:rPr>
          <w:rFonts w:hint="eastAsia" w:ascii="宋体" w:hAnsi="宋体" w:cs="宋体"/>
          <w:color w:val="auto"/>
          <w:sz w:val="24"/>
          <w:szCs w:val="24"/>
          <w:highlight w:val="none"/>
        </w:rPr>
      </w:pPr>
      <w:r>
        <w:rPr>
          <w:rFonts w:hint="eastAsia" w:ascii="宋体" w:hAnsi="宋体" w:cs="宋体"/>
          <w:b/>
          <w:color w:val="auto"/>
          <w:sz w:val="28"/>
          <w:szCs w:val="28"/>
          <w:highlight w:val="none"/>
        </w:rPr>
        <w:br w:type="page"/>
      </w:r>
      <w:r>
        <w:rPr>
          <w:rFonts w:hint="eastAsia" w:ascii="宋体" w:hAnsi="宋体" w:cs="宋体"/>
          <w:b/>
          <w:color w:val="auto"/>
          <w:sz w:val="32"/>
          <w:szCs w:val="32"/>
          <w:highlight w:val="none"/>
        </w:rPr>
        <w:t>第七部分   投标文件格式</w:t>
      </w:r>
    </w:p>
    <w:p w14:paraId="0D639D35">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监理单位应按下列名称、顺序、格式，并依据“投标人须知”、“评标办法”的要求编列投标文件：</w:t>
      </w:r>
    </w:p>
    <w:p w14:paraId="0260A22F">
      <w:pPr>
        <w:spacing w:line="360" w:lineRule="auto"/>
        <w:ind w:firstLine="470" w:firstLineChars="196"/>
        <w:jc w:val="left"/>
        <w:rPr>
          <w:rFonts w:ascii="宋体" w:hAnsi="宋体" w:cs="宋体"/>
          <w:color w:val="auto"/>
          <w:sz w:val="24"/>
          <w:szCs w:val="24"/>
          <w:highlight w:val="none"/>
        </w:rPr>
      </w:pPr>
      <w:r>
        <w:rPr>
          <w:rFonts w:hint="eastAsia" w:ascii="宋体" w:hAnsi="宋体" w:cs="宋体"/>
          <w:color w:val="auto"/>
          <w:sz w:val="24"/>
          <w:szCs w:val="24"/>
          <w:highlight w:val="none"/>
        </w:rPr>
        <w:t>1.法定代表人身份证明书（详见格式）</w:t>
      </w:r>
    </w:p>
    <w:p w14:paraId="429607A2">
      <w:pPr>
        <w:spacing w:line="360" w:lineRule="auto"/>
        <w:ind w:firstLine="470" w:firstLineChars="196"/>
        <w:jc w:val="left"/>
        <w:rPr>
          <w:rFonts w:ascii="宋体" w:hAnsi="宋体" w:cs="宋体"/>
          <w:color w:val="auto"/>
          <w:sz w:val="24"/>
          <w:szCs w:val="24"/>
          <w:highlight w:val="none"/>
        </w:rPr>
      </w:pPr>
      <w:r>
        <w:rPr>
          <w:rFonts w:hint="eastAsia" w:ascii="宋体" w:hAnsi="宋体" w:cs="宋体"/>
          <w:color w:val="auto"/>
          <w:sz w:val="24"/>
          <w:szCs w:val="24"/>
          <w:highlight w:val="none"/>
        </w:rPr>
        <w:t>2.授权委托书（详见格式）</w:t>
      </w:r>
    </w:p>
    <w:p w14:paraId="6E8251DB">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3.投标函（详见格式）</w:t>
      </w:r>
    </w:p>
    <w:p w14:paraId="0A4841DC">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投标书（详见格式）</w:t>
      </w:r>
    </w:p>
    <w:p w14:paraId="2CA96633">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投标综合说明</w:t>
      </w:r>
    </w:p>
    <w:p w14:paraId="532F80CC">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1企业概况</w:t>
      </w:r>
    </w:p>
    <w:p w14:paraId="25F546B9">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2监理过类似工程的合同一览表（详见格式）以及目前正在监理的工程一览表（详见格式）；</w:t>
      </w:r>
    </w:p>
    <w:p w14:paraId="0CFBC851">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派驻本工程的监理机构组织形式和人员，总监理工程师、各专业监理工程师的简历表（详见格式）；总监理工程师监理过类似工程、目前正在监理的工程一览表（详见格式）；拟派本项目总监理工程师和各专业监理工程师的资格证书，拟派本项目监理员和见证员，以及提供上述人员的开标截止时间前半年内在该投标单位连续三个月的社保缴纳证明，且应是投标人本单位工作人员。</w:t>
      </w:r>
    </w:p>
    <w:p w14:paraId="67B939C8">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4承诺企业及项目总监理工程师至投标截止之日都未在被限制投标期间内（受到招投标行政监管部门和政府行业监管部门限制投标的行政处罚的）的承诺函；</w:t>
      </w:r>
    </w:p>
    <w:p w14:paraId="29172FBF">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关于总监理工程师现场到位率的承诺（详见格式）；</w:t>
      </w:r>
    </w:p>
    <w:p w14:paraId="51C601E1">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6关于拟派总监理工程师不得有异地项目的承诺（详见格式）；</w:t>
      </w:r>
    </w:p>
    <w:p w14:paraId="0D7D8825">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7诚信承诺书（详见格式）。</w:t>
      </w:r>
    </w:p>
    <w:p w14:paraId="2B041553">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投入本工程办公检测仪器、设备汇总表</w:t>
      </w:r>
    </w:p>
    <w:p w14:paraId="6057DA70">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监理规划和监理大纲</w:t>
      </w:r>
    </w:p>
    <w:p w14:paraId="57889D61">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7.1监理工作概况；</w:t>
      </w:r>
    </w:p>
    <w:p w14:paraId="7C5ACD9D">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7.2监理工作内容和依据；</w:t>
      </w:r>
    </w:p>
    <w:p w14:paraId="46D52EE9">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7.3控制工程合同、质量、进度、安全文明施工、投资的主要手段和措施；</w:t>
      </w:r>
    </w:p>
    <w:p w14:paraId="5B07EB37">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7.4监理工作计划；</w:t>
      </w:r>
    </w:p>
    <w:p w14:paraId="31442188">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7.5监理人员工作守则；</w:t>
      </w:r>
    </w:p>
    <w:p w14:paraId="13CB42CE">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7.6对工程施工的难点、要点和关键部分的阐明及监理实施意见；</w:t>
      </w:r>
    </w:p>
    <w:p w14:paraId="2FA88203">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7.7对本工程的其他建议、要求； </w:t>
      </w:r>
    </w:p>
    <w:p w14:paraId="586C992F">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监理费报价（详见格式）</w:t>
      </w:r>
    </w:p>
    <w:p w14:paraId="1F006E3D">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相关证明材料</w:t>
      </w:r>
    </w:p>
    <w:p w14:paraId="7A54E782">
      <w:pPr>
        <w:spacing w:line="360" w:lineRule="auto"/>
        <w:ind w:firstLine="470" w:firstLineChars="196"/>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投标人认为需要提供的其他证明材料</w:t>
      </w:r>
    </w:p>
    <w:p w14:paraId="1E02653C">
      <w:pPr>
        <w:spacing w:line="360" w:lineRule="auto"/>
        <w:ind w:firstLine="708" w:firstLineChars="196"/>
        <w:rPr>
          <w:rFonts w:ascii="宋体" w:hAnsi="宋体" w:cs="宋体"/>
          <w:b/>
          <w:bCs/>
          <w:color w:val="auto"/>
          <w:sz w:val="36"/>
          <w:szCs w:val="22"/>
          <w:highlight w:val="none"/>
        </w:rPr>
      </w:pPr>
      <w:r>
        <w:rPr>
          <w:rFonts w:hint="eastAsia" w:ascii="宋体" w:hAnsi="宋体" w:cs="宋体"/>
          <w:b/>
          <w:bCs/>
          <w:color w:val="auto"/>
          <w:sz w:val="36"/>
          <w:szCs w:val="22"/>
          <w:highlight w:val="none"/>
        </w:rPr>
        <w:br w:type="page"/>
      </w:r>
    </w:p>
    <w:p w14:paraId="567FD8C2">
      <w:pPr>
        <w:ind w:left="360" w:firstLine="271" w:firstLineChars="75"/>
        <w:jc w:val="center"/>
        <w:rPr>
          <w:rFonts w:hint="eastAsia" w:ascii="宋体" w:hAnsi="宋体" w:cs="宋体"/>
          <w:b/>
          <w:bCs/>
          <w:color w:val="auto"/>
          <w:sz w:val="36"/>
          <w:highlight w:val="none"/>
        </w:rPr>
      </w:pPr>
      <w:r>
        <w:rPr>
          <w:rFonts w:hint="eastAsia" w:ascii="宋体" w:hAnsi="宋体" w:cs="宋体"/>
          <w:b/>
          <w:bCs/>
          <w:color w:val="auto"/>
          <w:sz w:val="36"/>
          <w:highlight w:val="none"/>
        </w:rPr>
        <w:t>法定代表人身份证明书</w:t>
      </w:r>
    </w:p>
    <w:p w14:paraId="693EB314">
      <w:pPr>
        <w:ind w:left="360" w:firstLine="210" w:firstLineChars="75"/>
        <w:rPr>
          <w:rFonts w:ascii="宋体" w:hAnsi="宋体" w:cs="宋体"/>
          <w:color w:val="auto"/>
          <w:sz w:val="28"/>
          <w:szCs w:val="28"/>
          <w:highlight w:val="none"/>
        </w:rPr>
      </w:pPr>
      <w:r>
        <w:rPr>
          <w:rFonts w:ascii="宋体" w:hAnsi="宋体" w:cs="宋体"/>
          <w:color w:val="auto"/>
          <w:sz w:val="28"/>
          <w:szCs w:val="28"/>
          <w:highlight w:val="none"/>
        </w:rPr>
        <w:t xml:space="preserve"> </w:t>
      </w:r>
    </w:p>
    <w:p w14:paraId="328DF09C">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单位名称：</w:t>
      </w:r>
      <w:r>
        <w:rPr>
          <w:rFonts w:hint="eastAsia" w:ascii="宋体" w:hAnsi="宋体" w:cs="宋体"/>
          <w:color w:val="auto"/>
          <w:sz w:val="28"/>
          <w:szCs w:val="28"/>
          <w:highlight w:val="none"/>
          <w:u w:val="single"/>
        </w:rPr>
        <w:t xml:space="preserve">                                                 </w:t>
      </w:r>
    </w:p>
    <w:p w14:paraId="40F3F60D">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单位性质：</w:t>
      </w:r>
      <w:r>
        <w:rPr>
          <w:rFonts w:hint="eastAsia" w:ascii="宋体" w:hAnsi="宋体" w:cs="宋体"/>
          <w:color w:val="auto"/>
          <w:sz w:val="28"/>
          <w:szCs w:val="28"/>
          <w:highlight w:val="none"/>
          <w:u w:val="single"/>
        </w:rPr>
        <w:t xml:space="preserve">                                                 </w:t>
      </w:r>
    </w:p>
    <w:p w14:paraId="416B3420">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地    址：</w:t>
      </w:r>
      <w:r>
        <w:rPr>
          <w:rFonts w:hint="eastAsia" w:ascii="宋体" w:hAnsi="宋体" w:cs="宋体"/>
          <w:color w:val="auto"/>
          <w:sz w:val="28"/>
          <w:szCs w:val="28"/>
          <w:highlight w:val="none"/>
          <w:u w:val="single"/>
        </w:rPr>
        <w:t xml:space="preserve">                                                 </w:t>
      </w:r>
    </w:p>
    <w:p w14:paraId="075E48A9">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成立时间：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日 </w:t>
      </w:r>
    </w:p>
    <w:p w14:paraId="5F4DADB5">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经营期限：</w:t>
      </w:r>
      <w:r>
        <w:rPr>
          <w:rFonts w:hint="eastAsia" w:ascii="宋体" w:hAnsi="宋体" w:cs="宋体"/>
          <w:color w:val="auto"/>
          <w:sz w:val="28"/>
          <w:szCs w:val="28"/>
          <w:highlight w:val="none"/>
          <w:u w:val="single"/>
        </w:rPr>
        <w:t xml:space="preserve">                                              </w:t>
      </w:r>
    </w:p>
    <w:p w14:paraId="02B751A4">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姓    名：</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性别：</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w:t>
      </w:r>
    </w:p>
    <w:p w14:paraId="212363DB">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年    龄：</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职务：</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 xml:space="preserve">   </w:t>
      </w:r>
    </w:p>
    <w:p w14:paraId="2707B4E3">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系</w:t>
      </w:r>
      <w:r>
        <w:rPr>
          <w:rFonts w:hint="eastAsia" w:ascii="宋体" w:hAnsi="宋体" w:cs="宋体"/>
          <w:color w:val="auto"/>
          <w:sz w:val="28"/>
          <w:szCs w:val="28"/>
          <w:highlight w:val="none"/>
          <w:u w:val="single"/>
        </w:rPr>
        <w:t xml:space="preserve">          （投标人单位名称）         </w:t>
      </w:r>
      <w:r>
        <w:rPr>
          <w:rFonts w:hint="eastAsia" w:ascii="宋体" w:hAnsi="宋体" w:cs="宋体"/>
          <w:color w:val="auto"/>
          <w:sz w:val="28"/>
          <w:szCs w:val="28"/>
          <w:highlight w:val="none"/>
        </w:rPr>
        <w:t xml:space="preserve">的法定代表人。 </w:t>
      </w:r>
    </w:p>
    <w:p w14:paraId="1FC9311F">
      <w:pPr>
        <w:ind w:left="360" w:firstLine="210" w:firstLineChars="75"/>
        <w:rPr>
          <w:rFonts w:ascii="宋体" w:hAnsi="宋体" w:cs="宋体"/>
          <w:color w:val="auto"/>
          <w:sz w:val="28"/>
          <w:szCs w:val="28"/>
          <w:highlight w:val="none"/>
        </w:rPr>
      </w:pPr>
      <w:r>
        <w:rPr>
          <w:rFonts w:ascii="宋体" w:hAnsi="宋体" w:cs="宋体"/>
          <w:color w:val="auto"/>
          <w:sz w:val="28"/>
          <w:szCs w:val="28"/>
          <w:highlight w:val="none"/>
        </w:rPr>
        <w:t xml:space="preserve"> </w:t>
      </w:r>
    </w:p>
    <w:p w14:paraId="7EA56293">
      <w:pPr>
        <w:ind w:left="360" w:firstLine="210" w:firstLineChars="75"/>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特此证明。 </w:t>
      </w:r>
    </w:p>
    <w:p w14:paraId="55A0CDC9">
      <w:pPr>
        <w:ind w:left="359" w:leftChars="171" w:firstLine="1050" w:firstLineChars="375"/>
        <w:rPr>
          <w:rFonts w:hint="eastAsia" w:ascii="宋体" w:hAnsi="宋体" w:cs="宋体"/>
          <w:color w:val="auto"/>
          <w:sz w:val="28"/>
          <w:szCs w:val="28"/>
          <w:highlight w:val="none"/>
        </w:rPr>
      </w:pPr>
      <w:r>
        <w:rPr>
          <w:rFonts w:hint="eastAsia" w:ascii="宋体" w:hAnsi="宋体" w:cs="宋体"/>
          <w:color w:val="auto"/>
          <w:sz w:val="28"/>
          <w:szCs w:val="28"/>
          <w:highlight w:val="none"/>
        </w:rPr>
        <w:t>投标人：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rPr>
        <w:t>（盖公章）</w:t>
      </w:r>
      <w:r>
        <w:rPr>
          <w:rFonts w:hint="eastAsia" w:ascii="宋体" w:hAnsi="宋体" w:cs="宋体"/>
          <w:color w:val="auto"/>
          <w:sz w:val="28"/>
          <w:szCs w:val="28"/>
          <w:highlight w:val="none"/>
        </w:rPr>
        <w:t xml:space="preserve"> </w:t>
      </w:r>
    </w:p>
    <w:p w14:paraId="13009108">
      <w:pPr>
        <w:ind w:left="359" w:leftChars="171" w:firstLine="3010" w:firstLineChars="1075"/>
        <w:rPr>
          <w:rFonts w:hint="eastAsia" w:ascii="宋体" w:hAnsi="宋体" w:cs="宋体"/>
          <w:color w:val="auto"/>
          <w:sz w:val="28"/>
          <w:szCs w:val="28"/>
          <w:highlight w:val="none"/>
        </w:rPr>
      </w:pPr>
      <w:r>
        <w:rPr>
          <w:rFonts w:hint="eastAsia" w:ascii="宋体" w:hAnsi="宋体" w:cs="宋体"/>
          <w:color w:val="auto"/>
          <w:sz w:val="28"/>
          <w:szCs w:val="28"/>
          <w:highlight w:val="none"/>
        </w:rPr>
        <w:t>日  期：      年     月     日</w:t>
      </w:r>
    </w:p>
    <w:p w14:paraId="1D5206CB">
      <w:pPr>
        <w:ind w:left="360" w:firstLine="210" w:firstLineChars="75"/>
        <w:rPr>
          <w:rFonts w:hint="eastAsia" w:ascii="宋体" w:hAnsi="宋体" w:cs="宋体"/>
          <w:color w:val="auto"/>
          <w:sz w:val="28"/>
          <w:szCs w:val="28"/>
          <w:highlight w:val="none"/>
        </w:rPr>
      </w:pPr>
    </w:p>
    <w:p w14:paraId="2C97AFDB">
      <w:pPr>
        <w:ind w:firstLine="1120" w:firstLineChars="400"/>
        <w:rPr>
          <w:rFonts w:hint="eastAsia" w:ascii="宋体" w:hAnsi="宋体" w:cs="宋体"/>
          <w:color w:val="auto"/>
          <w:sz w:val="28"/>
          <w:highlight w:val="none"/>
        </w:rPr>
      </w:pPr>
    </w:p>
    <w:p w14:paraId="1BFDC434">
      <w:pPr>
        <w:ind w:firstLine="1120" w:firstLineChars="400"/>
        <w:rPr>
          <w:rFonts w:hint="eastAsia" w:ascii="宋体" w:hAnsi="宋体" w:cs="宋体"/>
          <w:color w:val="auto"/>
          <w:sz w:val="28"/>
          <w:highlight w:val="none"/>
        </w:rPr>
      </w:pPr>
    </w:p>
    <w:p w14:paraId="1599AD4C">
      <w:pPr>
        <w:spacing w:line="400" w:lineRule="exact"/>
        <w:jc w:val="center"/>
        <w:rPr>
          <w:rFonts w:hint="eastAsia" w:ascii="宋体" w:hAnsi="宋体" w:cs="宋体"/>
          <w:b/>
          <w:bCs/>
          <w:color w:val="auto"/>
          <w:sz w:val="36"/>
          <w:highlight w:val="none"/>
        </w:rPr>
      </w:pPr>
    </w:p>
    <w:p w14:paraId="507DAF98">
      <w:pPr>
        <w:spacing w:line="400" w:lineRule="exact"/>
        <w:jc w:val="center"/>
        <w:rPr>
          <w:rFonts w:hint="eastAsia" w:ascii="宋体" w:hAnsi="宋体" w:cs="宋体"/>
          <w:b/>
          <w:bCs/>
          <w:color w:val="auto"/>
          <w:sz w:val="36"/>
          <w:highlight w:val="none"/>
        </w:rPr>
      </w:pPr>
    </w:p>
    <w:p w14:paraId="29A919C7">
      <w:pPr>
        <w:spacing w:line="400" w:lineRule="exact"/>
        <w:jc w:val="center"/>
        <w:rPr>
          <w:rFonts w:hint="eastAsia" w:ascii="宋体" w:hAnsi="宋体" w:cs="宋体"/>
          <w:b/>
          <w:bCs/>
          <w:color w:val="auto"/>
          <w:sz w:val="36"/>
          <w:highlight w:val="none"/>
        </w:rPr>
      </w:pPr>
    </w:p>
    <w:p w14:paraId="36E052DD">
      <w:pPr>
        <w:spacing w:line="400" w:lineRule="exact"/>
        <w:jc w:val="center"/>
        <w:rPr>
          <w:rFonts w:hint="eastAsia" w:ascii="宋体" w:hAnsi="宋体" w:cs="宋体"/>
          <w:b/>
          <w:bCs/>
          <w:color w:val="auto"/>
          <w:sz w:val="36"/>
          <w:highlight w:val="none"/>
        </w:rPr>
      </w:pPr>
    </w:p>
    <w:p w14:paraId="7284B827">
      <w:pPr>
        <w:spacing w:line="400" w:lineRule="exact"/>
        <w:jc w:val="center"/>
        <w:rPr>
          <w:rFonts w:hint="eastAsia" w:ascii="宋体" w:hAnsi="宋体" w:cs="宋体"/>
          <w:b/>
          <w:bCs/>
          <w:color w:val="auto"/>
          <w:sz w:val="36"/>
          <w:highlight w:val="none"/>
        </w:rPr>
      </w:pPr>
    </w:p>
    <w:p w14:paraId="3B60C8B4">
      <w:pPr>
        <w:spacing w:line="400" w:lineRule="exact"/>
        <w:jc w:val="center"/>
        <w:rPr>
          <w:rFonts w:hint="eastAsia" w:ascii="宋体" w:hAnsi="宋体" w:cs="宋体"/>
          <w:b/>
          <w:bCs/>
          <w:color w:val="auto"/>
          <w:sz w:val="36"/>
          <w:highlight w:val="none"/>
        </w:rPr>
      </w:pPr>
    </w:p>
    <w:p w14:paraId="113424A5">
      <w:pPr>
        <w:spacing w:line="400" w:lineRule="exact"/>
        <w:jc w:val="center"/>
        <w:rPr>
          <w:rFonts w:hint="eastAsia" w:ascii="宋体" w:hAnsi="宋体" w:cs="宋体"/>
          <w:b/>
          <w:bCs/>
          <w:color w:val="auto"/>
          <w:sz w:val="36"/>
          <w:highlight w:val="none"/>
        </w:rPr>
      </w:pPr>
    </w:p>
    <w:p w14:paraId="70609E63">
      <w:pPr>
        <w:spacing w:line="400" w:lineRule="exact"/>
        <w:rPr>
          <w:rFonts w:hint="eastAsia" w:ascii="宋体" w:hAnsi="宋体" w:cs="宋体"/>
          <w:b/>
          <w:bCs/>
          <w:color w:val="auto"/>
          <w:sz w:val="36"/>
          <w:highlight w:val="none"/>
        </w:rPr>
      </w:pPr>
    </w:p>
    <w:p w14:paraId="7053381F">
      <w:pPr>
        <w:spacing w:line="400" w:lineRule="exact"/>
        <w:jc w:val="center"/>
        <w:rPr>
          <w:rFonts w:hint="eastAsia" w:ascii="宋体" w:hAnsi="宋体" w:cs="宋体"/>
          <w:b/>
          <w:bCs/>
          <w:color w:val="auto"/>
          <w:sz w:val="36"/>
          <w:highlight w:val="none"/>
        </w:rPr>
      </w:pPr>
    </w:p>
    <w:p w14:paraId="6C21B0FB">
      <w:pPr>
        <w:spacing w:line="400" w:lineRule="exact"/>
        <w:jc w:val="center"/>
        <w:rPr>
          <w:rFonts w:hint="eastAsia" w:ascii="宋体" w:hAnsi="宋体" w:cs="宋体"/>
          <w:b/>
          <w:bCs/>
          <w:color w:val="auto"/>
          <w:sz w:val="36"/>
          <w:highlight w:val="none"/>
        </w:rPr>
      </w:pPr>
    </w:p>
    <w:p w14:paraId="5AF8C5AF">
      <w:pPr>
        <w:spacing w:line="400" w:lineRule="exact"/>
        <w:jc w:val="center"/>
        <w:rPr>
          <w:rFonts w:hint="eastAsia" w:ascii="宋体" w:hAnsi="宋体" w:cs="宋体"/>
          <w:b/>
          <w:bCs/>
          <w:color w:val="auto"/>
          <w:sz w:val="36"/>
          <w:highlight w:val="none"/>
        </w:rPr>
      </w:pPr>
      <w:r>
        <w:rPr>
          <w:rFonts w:hint="eastAsia" w:ascii="宋体" w:hAnsi="宋体" w:cs="宋体"/>
          <w:b/>
          <w:bCs/>
          <w:color w:val="auto"/>
          <w:sz w:val="36"/>
          <w:highlight w:val="none"/>
        </w:rPr>
        <w:t xml:space="preserve">授权委托书 </w:t>
      </w:r>
    </w:p>
    <w:p w14:paraId="698CF882">
      <w:pPr>
        <w:ind w:firstLine="1120" w:firstLineChars="400"/>
        <w:rPr>
          <w:rFonts w:ascii="宋体" w:hAnsi="宋体" w:cs="宋体"/>
          <w:color w:val="auto"/>
          <w:sz w:val="28"/>
          <w:highlight w:val="none"/>
        </w:rPr>
      </w:pPr>
      <w:r>
        <w:rPr>
          <w:rFonts w:ascii="宋体" w:hAnsi="宋体" w:cs="宋体"/>
          <w:color w:val="auto"/>
          <w:sz w:val="28"/>
          <w:highlight w:val="none"/>
        </w:rPr>
        <w:t xml:space="preserve"> </w:t>
      </w:r>
    </w:p>
    <w:p w14:paraId="0BA23302">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本授权委托书声明：我</w:t>
      </w:r>
      <w:r>
        <w:rPr>
          <w:rFonts w:hint="eastAsia" w:ascii="宋体" w:hAnsi="宋体" w:cs="宋体"/>
          <w:color w:val="auto"/>
          <w:sz w:val="28"/>
          <w:highlight w:val="none"/>
          <w:u w:val="single"/>
        </w:rPr>
        <w:t xml:space="preserve">     （姓名）  </w:t>
      </w:r>
      <w:r>
        <w:rPr>
          <w:rFonts w:hint="eastAsia" w:ascii="宋体" w:hAnsi="宋体" w:cs="宋体"/>
          <w:color w:val="auto"/>
          <w:sz w:val="28"/>
          <w:highlight w:val="none"/>
        </w:rPr>
        <w:t>系</w:t>
      </w:r>
      <w:r>
        <w:rPr>
          <w:rFonts w:hint="eastAsia" w:ascii="宋体" w:hAnsi="宋体" w:cs="宋体"/>
          <w:color w:val="auto"/>
          <w:sz w:val="28"/>
          <w:highlight w:val="none"/>
          <w:u w:val="single"/>
        </w:rPr>
        <w:t xml:space="preserve">   （投 标 人 名 称）</w:t>
      </w:r>
      <w:r>
        <w:rPr>
          <w:rFonts w:hint="eastAsia" w:ascii="宋体" w:hAnsi="宋体" w:cs="宋体"/>
          <w:color w:val="auto"/>
          <w:sz w:val="28"/>
          <w:highlight w:val="none"/>
        </w:rPr>
        <w:t>的法定代表人，现授权委托</w:t>
      </w:r>
      <w:r>
        <w:rPr>
          <w:rFonts w:hint="eastAsia" w:ascii="宋体" w:hAnsi="宋体" w:cs="宋体"/>
          <w:color w:val="auto"/>
          <w:sz w:val="28"/>
          <w:highlight w:val="none"/>
          <w:u w:val="single"/>
        </w:rPr>
        <w:t xml:space="preserve">     （单位名称）      </w:t>
      </w:r>
      <w:r>
        <w:rPr>
          <w:rFonts w:hint="eastAsia" w:ascii="宋体" w:hAnsi="宋体" w:cs="宋体"/>
          <w:color w:val="auto"/>
          <w:sz w:val="28"/>
          <w:highlight w:val="none"/>
        </w:rPr>
        <w:t>的</w:t>
      </w:r>
      <w:r>
        <w:rPr>
          <w:rFonts w:hint="eastAsia" w:ascii="宋体" w:hAnsi="宋体" w:cs="宋体"/>
          <w:color w:val="auto"/>
          <w:sz w:val="28"/>
          <w:highlight w:val="none"/>
          <w:u w:val="single"/>
        </w:rPr>
        <w:t xml:space="preserve">    （姓名） </w:t>
      </w:r>
      <w:r>
        <w:rPr>
          <w:rFonts w:hint="eastAsia" w:ascii="宋体" w:hAnsi="宋体" w:cs="宋体"/>
          <w:color w:val="auto"/>
          <w:sz w:val="28"/>
          <w:highlight w:val="none"/>
        </w:rPr>
        <w:t>为我公司的合法代理人，</w:t>
      </w:r>
      <w:r>
        <w:rPr>
          <w:rFonts w:hint="eastAsia" w:ascii="宋体" w:hAnsi="宋体" w:eastAsia="宋体" w:cs="宋体"/>
          <w:color w:val="auto"/>
          <w:sz w:val="28"/>
          <w:highlight w:val="none"/>
        </w:rPr>
        <w:t>就</w:t>
      </w:r>
      <w:r>
        <w:rPr>
          <w:rFonts w:hint="eastAsia" w:ascii="宋体" w:hAnsi="宋体" w:cs="宋体"/>
          <w:color w:val="auto"/>
          <w:sz w:val="28"/>
          <w:highlight w:val="none"/>
          <w:u w:val="single"/>
        </w:rPr>
        <w:t xml:space="preserve">    （</w:t>
      </w:r>
      <w:r>
        <w:rPr>
          <w:rFonts w:hint="eastAsia" w:ascii="宋体" w:hAnsi="宋体" w:cs="宋体"/>
          <w:color w:val="auto"/>
          <w:sz w:val="28"/>
          <w:highlight w:val="none"/>
          <w:u w:val="single"/>
          <w:lang w:val="en-US" w:eastAsia="zh-CN"/>
        </w:rPr>
        <w:t>项目</w:t>
      </w:r>
      <w:r>
        <w:rPr>
          <w:rFonts w:hint="eastAsia" w:ascii="宋体" w:hAnsi="宋体" w:cs="宋体"/>
          <w:color w:val="auto"/>
          <w:sz w:val="28"/>
          <w:highlight w:val="none"/>
          <w:u w:val="single"/>
        </w:rPr>
        <w:t xml:space="preserve">名称）   </w:t>
      </w:r>
      <w:r>
        <w:rPr>
          <w:rFonts w:hint="eastAsia" w:ascii="宋体" w:hAnsi="宋体" w:cs="宋体"/>
          <w:color w:val="auto"/>
          <w:sz w:val="28"/>
          <w:highlight w:val="none"/>
        </w:rPr>
        <w:t xml:space="preserve">的投标和监理，以本公司的名义签署投标书，解释投标文件，进行谈判、签署合同和处理与之有关的一切事宜。 </w:t>
      </w:r>
    </w:p>
    <w:p w14:paraId="7728B8B6">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 xml:space="preserve">代理人无转委托权，特此委托。 </w:t>
      </w:r>
    </w:p>
    <w:p w14:paraId="3321A72F">
      <w:pPr>
        <w:ind w:firstLine="1120" w:firstLineChars="400"/>
        <w:jc w:val="left"/>
        <w:rPr>
          <w:rFonts w:ascii="宋体" w:hAnsi="宋体" w:cs="宋体"/>
          <w:color w:val="auto"/>
          <w:sz w:val="28"/>
          <w:highlight w:val="none"/>
        </w:rPr>
      </w:pPr>
      <w:r>
        <w:rPr>
          <w:rFonts w:ascii="宋体" w:hAnsi="宋体" w:cs="宋体"/>
          <w:color w:val="auto"/>
          <w:sz w:val="28"/>
          <w:highlight w:val="none"/>
        </w:rPr>
        <w:t xml:space="preserve"> </w:t>
      </w:r>
    </w:p>
    <w:p w14:paraId="797E2C67">
      <w:pPr>
        <w:ind w:firstLine="1120" w:firstLineChars="400"/>
        <w:jc w:val="left"/>
        <w:rPr>
          <w:rFonts w:ascii="宋体" w:hAnsi="宋体" w:cs="宋体"/>
          <w:color w:val="auto"/>
          <w:sz w:val="28"/>
          <w:highlight w:val="none"/>
        </w:rPr>
      </w:pPr>
      <w:r>
        <w:rPr>
          <w:rFonts w:ascii="宋体" w:hAnsi="宋体" w:cs="宋体"/>
          <w:color w:val="auto"/>
          <w:sz w:val="28"/>
          <w:highlight w:val="none"/>
        </w:rPr>
        <w:t xml:space="preserve"> </w:t>
      </w:r>
    </w:p>
    <w:p w14:paraId="529BD6A6">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代  理  人：</w:t>
      </w:r>
      <w:r>
        <w:rPr>
          <w:rFonts w:hint="eastAsia" w:ascii="宋体" w:hAnsi="宋体" w:cs="宋体"/>
          <w:color w:val="auto"/>
          <w:sz w:val="28"/>
          <w:highlight w:val="none"/>
          <w:u w:val="single"/>
        </w:rPr>
        <w:t xml:space="preserve">              </w:t>
      </w:r>
      <w:r>
        <w:rPr>
          <w:rFonts w:hint="eastAsia" w:ascii="宋体" w:hAnsi="宋体" w:cs="宋体"/>
          <w:color w:val="auto"/>
          <w:sz w:val="28"/>
          <w:highlight w:val="none"/>
        </w:rPr>
        <w:t>性别 ：</w:t>
      </w:r>
      <w:r>
        <w:rPr>
          <w:rFonts w:hint="eastAsia" w:ascii="宋体" w:hAnsi="宋体" w:cs="宋体"/>
          <w:color w:val="auto"/>
          <w:sz w:val="28"/>
          <w:highlight w:val="none"/>
          <w:u w:val="single"/>
        </w:rPr>
        <w:t xml:space="preserve">         </w:t>
      </w:r>
      <w:r>
        <w:rPr>
          <w:rFonts w:hint="eastAsia" w:ascii="宋体" w:hAnsi="宋体" w:cs="宋体"/>
          <w:color w:val="auto"/>
          <w:sz w:val="28"/>
          <w:highlight w:val="none"/>
        </w:rPr>
        <w:t>年龄：</w:t>
      </w:r>
      <w:r>
        <w:rPr>
          <w:rFonts w:hint="eastAsia" w:ascii="宋体" w:hAnsi="宋体" w:cs="宋体"/>
          <w:color w:val="auto"/>
          <w:sz w:val="28"/>
          <w:highlight w:val="none"/>
          <w:u w:val="single"/>
        </w:rPr>
        <w:t xml:space="preserve">          </w:t>
      </w:r>
    </w:p>
    <w:p w14:paraId="2380D3F6">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身份证号码：</w:t>
      </w:r>
      <w:r>
        <w:rPr>
          <w:rFonts w:hint="eastAsia" w:ascii="宋体" w:hAnsi="宋体" w:cs="宋体"/>
          <w:color w:val="auto"/>
          <w:sz w:val="28"/>
          <w:highlight w:val="none"/>
          <w:u w:val="single"/>
        </w:rPr>
        <w:t xml:space="preserve">                   </w:t>
      </w:r>
      <w:r>
        <w:rPr>
          <w:rFonts w:hint="eastAsia" w:ascii="宋体" w:hAnsi="宋体" w:cs="宋体"/>
          <w:color w:val="auto"/>
          <w:sz w:val="28"/>
          <w:highlight w:val="none"/>
        </w:rPr>
        <w:t xml:space="preserve"> 联系电话（手机号码）：</w:t>
      </w:r>
      <w:r>
        <w:rPr>
          <w:rFonts w:hint="eastAsia" w:ascii="宋体" w:hAnsi="宋体" w:cs="宋体"/>
          <w:color w:val="auto"/>
          <w:sz w:val="28"/>
          <w:highlight w:val="none"/>
          <w:u w:val="single"/>
        </w:rPr>
        <w:t xml:space="preserve">           </w:t>
      </w:r>
    </w:p>
    <w:p w14:paraId="6115C7DF">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投  标  人：</w:t>
      </w:r>
      <w:r>
        <w:rPr>
          <w:rFonts w:hint="eastAsia" w:ascii="宋体" w:hAnsi="宋体" w:cs="宋体"/>
          <w:color w:val="auto"/>
          <w:sz w:val="28"/>
          <w:highlight w:val="none"/>
          <w:u w:val="single"/>
        </w:rPr>
        <w:t xml:space="preserve">     </w:t>
      </w:r>
      <w:r>
        <w:rPr>
          <w:rFonts w:hint="eastAsia" w:ascii="宋体" w:hAnsi="宋体" w:cs="宋体"/>
          <w:color w:val="auto"/>
          <w:sz w:val="28"/>
          <w:highlight w:val="none"/>
          <w:u w:val="single"/>
          <w:lang w:val="en-US" w:eastAsia="zh-CN"/>
        </w:rPr>
        <w:t xml:space="preserve">    </w:t>
      </w:r>
      <w:r>
        <w:rPr>
          <w:rFonts w:hint="eastAsia" w:ascii="宋体" w:hAnsi="宋体" w:cs="宋体"/>
          <w:color w:val="auto"/>
          <w:sz w:val="28"/>
          <w:highlight w:val="none"/>
          <w:u w:val="single"/>
        </w:rPr>
        <w:t xml:space="preserve">（盖公章）  </w:t>
      </w:r>
    </w:p>
    <w:p w14:paraId="768152D4">
      <w:pPr>
        <w:ind w:firstLine="560" w:firstLineChars="200"/>
        <w:jc w:val="left"/>
        <w:rPr>
          <w:rFonts w:hint="eastAsia" w:ascii="宋体" w:hAnsi="宋体" w:cs="宋体"/>
          <w:color w:val="auto"/>
          <w:sz w:val="28"/>
          <w:highlight w:val="none"/>
        </w:rPr>
      </w:pPr>
      <w:r>
        <w:rPr>
          <w:rFonts w:hint="eastAsia" w:ascii="宋体" w:hAnsi="宋体" w:cs="宋体"/>
          <w:color w:val="auto"/>
          <w:sz w:val="28"/>
          <w:highlight w:val="none"/>
        </w:rPr>
        <w:t>法定代表人：</w:t>
      </w:r>
      <w:r>
        <w:rPr>
          <w:rFonts w:hint="eastAsia" w:ascii="宋体" w:hAnsi="宋体" w:cs="宋体"/>
          <w:color w:val="auto"/>
          <w:sz w:val="28"/>
          <w:highlight w:val="none"/>
          <w:u w:val="single"/>
        </w:rPr>
        <w:t xml:space="preserve">      （签字或盖章） </w:t>
      </w:r>
      <w:r>
        <w:rPr>
          <w:rFonts w:hint="eastAsia" w:ascii="宋体" w:hAnsi="宋体" w:cs="宋体"/>
          <w:color w:val="auto"/>
          <w:sz w:val="28"/>
          <w:highlight w:val="none"/>
        </w:rPr>
        <w:t xml:space="preserve"> </w:t>
      </w:r>
    </w:p>
    <w:p w14:paraId="1F4D41F2">
      <w:pPr>
        <w:ind w:firstLine="848" w:firstLineChars="303"/>
        <w:jc w:val="right"/>
        <w:rPr>
          <w:rFonts w:hint="eastAsia" w:ascii="宋体" w:hAnsi="宋体" w:cs="宋体"/>
          <w:color w:val="auto"/>
          <w:sz w:val="28"/>
          <w:highlight w:val="none"/>
        </w:rPr>
      </w:pPr>
      <w:r>
        <w:rPr>
          <w:rFonts w:hint="eastAsia" w:ascii="宋体" w:hAnsi="宋体" w:cs="宋体"/>
          <w:color w:val="auto"/>
          <w:sz w:val="28"/>
          <w:highlight w:val="none"/>
        </w:rPr>
        <w:t>授权委托日期：     年     月     日</w:t>
      </w:r>
    </w:p>
    <w:p w14:paraId="3122B981">
      <w:pPr>
        <w:ind w:firstLine="1120" w:firstLineChars="400"/>
        <w:rPr>
          <w:rFonts w:hint="eastAsia" w:ascii="宋体" w:hAnsi="宋体" w:cs="宋体"/>
          <w:color w:val="auto"/>
          <w:sz w:val="28"/>
          <w:highlight w:val="none"/>
        </w:rPr>
      </w:pPr>
    </w:p>
    <w:p w14:paraId="0E1176B9">
      <w:pPr>
        <w:spacing w:line="360" w:lineRule="auto"/>
        <w:jc w:val="center"/>
        <w:rPr>
          <w:rFonts w:hint="eastAsia" w:ascii="宋体" w:hAnsi="宋体" w:cs="宋体"/>
          <w:b/>
          <w:color w:val="auto"/>
          <w:sz w:val="32"/>
          <w:szCs w:val="32"/>
          <w:highlight w:val="none"/>
        </w:rPr>
      </w:pPr>
    </w:p>
    <w:p w14:paraId="6F221FFD">
      <w:pPr>
        <w:pStyle w:val="14"/>
        <w:spacing w:line="360" w:lineRule="auto"/>
        <w:jc w:val="center"/>
        <w:rPr>
          <w:rFonts w:hint="eastAsia" w:hAnsi="宋体"/>
          <w:b/>
          <w:color w:val="auto"/>
          <w:sz w:val="28"/>
          <w:szCs w:val="28"/>
          <w:highlight w:val="none"/>
        </w:rPr>
      </w:pPr>
    </w:p>
    <w:p w14:paraId="07A91F98">
      <w:pPr>
        <w:pStyle w:val="14"/>
        <w:spacing w:line="360" w:lineRule="auto"/>
        <w:jc w:val="center"/>
        <w:rPr>
          <w:rFonts w:hint="eastAsia" w:hAnsi="宋体"/>
          <w:b/>
          <w:color w:val="auto"/>
          <w:sz w:val="28"/>
          <w:szCs w:val="28"/>
          <w:highlight w:val="none"/>
        </w:rPr>
      </w:pPr>
    </w:p>
    <w:p w14:paraId="31086831">
      <w:pPr>
        <w:pStyle w:val="14"/>
        <w:spacing w:line="360" w:lineRule="auto"/>
        <w:jc w:val="center"/>
        <w:rPr>
          <w:rFonts w:hint="eastAsia" w:hAnsi="宋体"/>
          <w:b/>
          <w:color w:val="auto"/>
          <w:sz w:val="28"/>
          <w:szCs w:val="28"/>
          <w:highlight w:val="none"/>
        </w:rPr>
      </w:pPr>
    </w:p>
    <w:p w14:paraId="6BC9ED8C">
      <w:pPr>
        <w:pStyle w:val="14"/>
        <w:spacing w:line="360" w:lineRule="auto"/>
        <w:jc w:val="center"/>
        <w:rPr>
          <w:rFonts w:hint="eastAsia" w:hAnsi="宋体"/>
          <w:b/>
          <w:color w:val="auto"/>
          <w:sz w:val="28"/>
          <w:szCs w:val="28"/>
          <w:highlight w:val="none"/>
        </w:rPr>
      </w:pPr>
    </w:p>
    <w:p w14:paraId="7F06B1F7">
      <w:pPr>
        <w:pStyle w:val="14"/>
        <w:spacing w:line="360" w:lineRule="auto"/>
        <w:jc w:val="center"/>
        <w:rPr>
          <w:rFonts w:hint="eastAsia" w:hAnsi="宋体"/>
          <w:b/>
          <w:color w:val="auto"/>
          <w:sz w:val="28"/>
          <w:szCs w:val="28"/>
          <w:highlight w:val="none"/>
        </w:rPr>
      </w:pPr>
    </w:p>
    <w:p w14:paraId="4FBC0531">
      <w:pPr>
        <w:pStyle w:val="14"/>
        <w:spacing w:line="360" w:lineRule="auto"/>
        <w:jc w:val="center"/>
        <w:rPr>
          <w:rFonts w:hint="eastAsia" w:hAnsi="宋体"/>
          <w:b/>
          <w:color w:val="auto"/>
          <w:sz w:val="28"/>
          <w:szCs w:val="28"/>
          <w:highlight w:val="none"/>
        </w:rPr>
      </w:pPr>
    </w:p>
    <w:p w14:paraId="05ADFD45">
      <w:pPr>
        <w:pStyle w:val="14"/>
        <w:spacing w:line="360" w:lineRule="auto"/>
        <w:jc w:val="center"/>
        <w:rPr>
          <w:rFonts w:hint="eastAsia" w:hAnsi="宋体"/>
          <w:b/>
          <w:color w:val="auto"/>
          <w:sz w:val="28"/>
          <w:szCs w:val="28"/>
          <w:highlight w:val="none"/>
        </w:rPr>
      </w:pPr>
    </w:p>
    <w:p w14:paraId="65D286E8">
      <w:pPr>
        <w:pStyle w:val="14"/>
        <w:spacing w:line="360" w:lineRule="auto"/>
        <w:jc w:val="center"/>
        <w:rPr>
          <w:rFonts w:hint="eastAsia" w:hAnsi="宋体"/>
          <w:b/>
          <w:color w:val="auto"/>
          <w:sz w:val="28"/>
          <w:szCs w:val="28"/>
          <w:highlight w:val="none"/>
        </w:rPr>
      </w:pPr>
      <w:r>
        <w:rPr>
          <w:rFonts w:hint="eastAsia" w:hAnsi="宋体"/>
          <w:b/>
          <w:color w:val="auto"/>
          <w:sz w:val="28"/>
          <w:szCs w:val="28"/>
          <w:highlight w:val="none"/>
        </w:rPr>
        <w:t>投 标 函</w:t>
      </w:r>
    </w:p>
    <w:p w14:paraId="550206DC">
      <w:pPr>
        <w:adjustRightInd w:val="0"/>
        <w:spacing w:before="62" w:beforeLines="20" w:after="62" w:afterLines="20"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 xml:space="preserve">   {招标人名称}   </w:t>
      </w:r>
    </w:p>
    <w:p w14:paraId="299B226E">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u w:val="single"/>
        </w:rPr>
      </w:pPr>
      <w:r>
        <w:rPr>
          <w:rFonts w:hint="eastAsia" w:ascii="宋体" w:hAnsi="宋体"/>
          <w:color w:val="auto"/>
          <w:sz w:val="24"/>
          <w:highlight w:val="none"/>
        </w:rPr>
        <w:t>1.根据你方招标工程监理项目编号为</w:t>
      </w:r>
      <w:r>
        <w:rPr>
          <w:rFonts w:hint="eastAsia" w:ascii="宋体" w:hAnsi="宋体"/>
          <w:color w:val="auto"/>
          <w:sz w:val="24"/>
          <w:highlight w:val="none"/>
          <w:u w:val="single"/>
        </w:rPr>
        <w:t xml:space="preserve">  {项目编号}  </w:t>
      </w:r>
      <w:r>
        <w:rPr>
          <w:rFonts w:hint="eastAsia" w:ascii="宋体" w:hAnsi="宋体"/>
          <w:color w:val="auto"/>
          <w:sz w:val="24"/>
          <w:highlight w:val="none"/>
        </w:rPr>
        <w:t>的</w:t>
      </w:r>
      <w:r>
        <w:rPr>
          <w:rFonts w:hint="eastAsia" w:ascii="宋体" w:hAnsi="宋体"/>
          <w:color w:val="auto"/>
          <w:sz w:val="24"/>
          <w:highlight w:val="none"/>
          <w:u w:val="single"/>
        </w:rPr>
        <w:t xml:space="preserve">  {招标工程项目名称}  </w:t>
      </w:r>
      <w:r>
        <w:rPr>
          <w:rFonts w:hint="eastAsia" w:ascii="宋体" w:hAnsi="宋体"/>
          <w:color w:val="auto"/>
          <w:sz w:val="24"/>
          <w:highlight w:val="none"/>
        </w:rPr>
        <w:t>监理招标文件，遵照《中华人民共和国招标投标法》等有关规定，经踏勘项目现场和研究上述招标文件的投标须知、合同条款、图纸和工程建设标准和工程量清单及其他有关文件后，我方愿以</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lang w:val="en-US" w:eastAsia="zh-CN"/>
        </w:rPr>
        <w:t>元</w:t>
      </w:r>
      <w:r>
        <w:rPr>
          <w:rFonts w:hint="eastAsia" w:ascii="宋体" w:hAnsi="宋体"/>
          <w:color w:val="auto"/>
          <w:sz w:val="24"/>
          <w:highlight w:val="none"/>
        </w:rPr>
        <w:t>的投标报价并按上述</w:t>
      </w:r>
      <w:r>
        <w:rPr>
          <w:rFonts w:hint="eastAsia" w:ascii="宋体" w:hAnsi="宋体"/>
          <w:bCs/>
          <w:color w:val="auto"/>
          <w:sz w:val="24"/>
          <w:highlight w:val="none"/>
        </w:rPr>
        <w:t>图纸、合同条款和工程建设标准的条件要求</w:t>
      </w:r>
      <w:r>
        <w:rPr>
          <w:rFonts w:hint="eastAsia" w:ascii="宋体" w:hAnsi="宋体"/>
          <w:color w:val="auto"/>
          <w:sz w:val="24"/>
          <w:highlight w:val="none"/>
        </w:rPr>
        <w:t>承担</w:t>
      </w:r>
      <w:r>
        <w:rPr>
          <w:rFonts w:hint="eastAsia" w:ascii="宋体" w:hAnsi="宋体"/>
          <w:bCs/>
          <w:color w:val="auto"/>
          <w:sz w:val="24"/>
          <w:highlight w:val="none"/>
        </w:rPr>
        <w:t>上述工程的监理工作。</w:t>
      </w:r>
    </w:p>
    <w:p w14:paraId="5B282A23">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2.我方已详细阅读和确认全部招标文件及有关附件。如我方中标，我方拟派总监理工程师为</w:t>
      </w:r>
      <w:r>
        <w:rPr>
          <w:rFonts w:hint="eastAsia" w:ascii="宋体" w:hAnsi="宋体"/>
          <w:color w:val="auto"/>
          <w:highlight w:val="none"/>
          <w:u w:val="single"/>
        </w:rPr>
        <w:t xml:space="preserve">        </w:t>
      </w:r>
      <w:r>
        <w:rPr>
          <w:rFonts w:hint="eastAsia" w:ascii="宋体" w:hAnsi="宋体"/>
          <w:color w:val="auto"/>
          <w:highlight w:val="none"/>
        </w:rPr>
        <w:t>，其总监理工程师资质为</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1639F61E">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3.一旦我方中标，我方保证在规定的时间内认真履行合同和其它各项承诺。</w:t>
      </w:r>
    </w:p>
    <w:p w14:paraId="3ABAD6CC">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4.一旦我方中标，我方保证在规定的时间内按招标文件规定的方式、金额向招标人提交履约担保。</w:t>
      </w:r>
    </w:p>
    <w:p w14:paraId="21331E6B">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5.我方同意所提交的投标文件在招标文件的投标须知中规定的投标有效期内有效，在此期间内如果中标，我方将受此约束。</w:t>
      </w:r>
    </w:p>
    <w:p w14:paraId="05710FFD">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6.除非另外达成协议并生效，你方的中标通知书和本投标文件以及招标文件、招标文件澄清、修改通知、补充文件将成为约束双方的合同文件的组成部分。</w:t>
      </w:r>
    </w:p>
    <w:p w14:paraId="2A9D9C04">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 xml:space="preserve">7.我方将与本投标函一起，提交人民币 </w:t>
      </w:r>
      <w:r>
        <w:rPr>
          <w:rFonts w:hint="eastAsia" w:ascii="宋体" w:hAnsi="宋体"/>
          <w:color w:val="auto"/>
          <w:highlight w:val="none"/>
          <w:u w:val="single"/>
        </w:rPr>
        <w:t xml:space="preserve">         </w:t>
      </w:r>
      <w:r>
        <w:rPr>
          <w:rFonts w:hint="eastAsia" w:ascii="宋体" w:hAnsi="宋体"/>
          <w:color w:val="auto"/>
          <w:highlight w:val="none"/>
        </w:rPr>
        <w:t xml:space="preserve">元作为投标保证金。 </w:t>
      </w:r>
    </w:p>
    <w:p w14:paraId="7B150863">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8.如我方中标，我方将按照规定提交上述合同价款</w:t>
      </w:r>
      <w:r>
        <w:rPr>
          <w:rFonts w:hint="eastAsia" w:ascii="宋体" w:hAnsi="宋体"/>
          <w:color w:val="auto"/>
          <w:highlight w:val="none"/>
          <w:u w:val="single"/>
        </w:rPr>
        <w:t xml:space="preserve">     </w:t>
      </w:r>
      <w:r>
        <w:rPr>
          <w:rFonts w:hint="eastAsia" w:ascii="宋体" w:hAnsi="宋体"/>
          <w:color w:val="auto"/>
          <w:highlight w:val="none"/>
        </w:rPr>
        <w:t>%作为履约保证金。</w:t>
      </w:r>
    </w:p>
    <w:p w14:paraId="4B525641">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9.招标文件、投标文件及中标通知书将成为约束双方的合同文件的组成部分。</w:t>
      </w:r>
    </w:p>
    <w:p w14:paraId="207C96DC">
      <w:pPr>
        <w:pStyle w:val="3"/>
        <w:adjustRightInd w:val="0"/>
        <w:spacing w:before="62" w:beforeLines="20" w:after="62" w:afterLines="20" w:line="360" w:lineRule="auto"/>
        <w:ind w:firstLine="422" w:firstLineChars="175"/>
        <w:rPr>
          <w:rFonts w:hint="eastAsia" w:ascii="宋体" w:hAnsi="宋体"/>
          <w:b/>
          <w:color w:val="auto"/>
          <w:highlight w:val="none"/>
        </w:rPr>
      </w:pPr>
      <w:r>
        <w:rPr>
          <w:rFonts w:hint="eastAsia" w:ascii="宋体" w:hAnsi="宋体"/>
          <w:b/>
          <w:color w:val="auto"/>
          <w:highlight w:val="none"/>
        </w:rPr>
        <w:t>10.我方承诺：我方拟派总监理工程师符合投标须知前附表的规定，否则接受招投标行政主管管理部门依法进行的处罚。</w:t>
      </w:r>
    </w:p>
    <w:p w14:paraId="4DAD3C29">
      <w:pPr>
        <w:pStyle w:val="3"/>
        <w:adjustRightInd w:val="0"/>
        <w:spacing w:before="62" w:beforeLines="20" w:after="62" w:afterLines="20" w:line="360" w:lineRule="auto"/>
        <w:ind w:firstLineChars="175"/>
        <w:rPr>
          <w:rFonts w:hint="eastAsia" w:ascii="宋体" w:hAnsi="宋体"/>
          <w:color w:val="auto"/>
          <w:highlight w:val="none"/>
        </w:rPr>
      </w:pPr>
      <w:r>
        <w:rPr>
          <w:rFonts w:hint="eastAsia" w:ascii="宋体" w:hAnsi="宋体"/>
          <w:color w:val="auto"/>
          <w:highlight w:val="none"/>
        </w:rPr>
        <w:t>11.其他补充说明：</w:t>
      </w:r>
      <w:r>
        <w:rPr>
          <w:rFonts w:hint="eastAsia" w:ascii="宋体" w:hAnsi="宋体"/>
          <w:color w:val="auto"/>
          <w:highlight w:val="none"/>
          <w:u w:val="single"/>
        </w:rPr>
        <w:t xml:space="preserve">             {补充说明事项}         </w:t>
      </w:r>
    </w:p>
    <w:p w14:paraId="17019183">
      <w:pPr>
        <w:adjustRightInd w:val="0"/>
        <w:spacing w:before="62" w:beforeLines="20" w:after="62" w:afterLines="20" w:line="360" w:lineRule="auto"/>
        <w:rPr>
          <w:rFonts w:hint="eastAsia" w:ascii="宋体" w:hAnsi="宋体"/>
          <w:color w:val="auto"/>
          <w:sz w:val="24"/>
          <w:highlight w:val="none"/>
          <w:u w:val="singl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名称   （盖章）</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p>
    <w:p w14:paraId="360EF62B">
      <w:pPr>
        <w:pStyle w:val="11"/>
        <w:adjustRightInd w:val="0"/>
        <w:spacing w:before="62" w:beforeLines="20" w:after="62" w:afterLines="20" w:line="360" w:lineRule="auto"/>
        <w:ind w:left="121" w:leftChars="11" w:hanging="98" w:hangingChars="41"/>
        <w:rPr>
          <w:rFonts w:hint="eastAsia" w:ascii="宋体" w:hAnsi="宋体"/>
          <w:color w:val="auto"/>
          <w:sz w:val="24"/>
          <w:highlight w:val="none"/>
          <w:u w:val="single"/>
        </w:rPr>
      </w:pPr>
      <w:r>
        <w:rPr>
          <w:rFonts w:hint="eastAsia" w:ascii="宋体" w:hAnsi="宋体"/>
          <w:color w:val="auto"/>
          <w:sz w:val="24"/>
          <w:highlight w:val="none"/>
        </w:rPr>
        <w:t>单位地址：</w:t>
      </w:r>
      <w:r>
        <w:rPr>
          <w:rFonts w:hint="eastAsia" w:ascii="宋体" w:hAnsi="宋体"/>
          <w:color w:val="auto"/>
          <w:sz w:val="24"/>
          <w:highlight w:val="none"/>
        </w:rPr>
        <w:tab/>
      </w:r>
      <w:r>
        <w:rPr>
          <w:rFonts w:hint="eastAsia" w:ascii="宋体" w:hAnsi="宋体"/>
          <w:color w:val="auto"/>
          <w:sz w:val="24"/>
          <w:highlight w:val="none"/>
          <w:u w:val="single"/>
        </w:rPr>
        <w:t xml:space="preserve">                                                    </w:t>
      </w:r>
    </w:p>
    <w:p w14:paraId="03BBDCA8">
      <w:pPr>
        <w:adjustRightInd w:val="0"/>
        <w:spacing w:before="62" w:beforeLines="20" w:after="62" w:afterLines="20" w:line="360" w:lineRule="auto"/>
        <w:rPr>
          <w:rFonts w:hint="eastAsia" w:ascii="宋体" w:hAnsi="宋体"/>
          <w:color w:val="auto"/>
          <w:sz w:val="24"/>
          <w:highlight w:val="none"/>
          <w:u w:val="single"/>
        </w:rPr>
      </w:pPr>
      <w:r>
        <w:rPr>
          <w:rFonts w:hint="eastAsia" w:ascii="宋体" w:hAnsi="宋体"/>
          <w:color w:val="auto"/>
          <w:sz w:val="24"/>
          <w:highlight w:val="none"/>
        </w:rPr>
        <w:t>法定代表人或其委托代理人：</w:t>
      </w:r>
      <w:r>
        <w:rPr>
          <w:rFonts w:hint="eastAsia" w:ascii="宋体" w:hAnsi="宋体"/>
          <w:color w:val="auto"/>
          <w:sz w:val="24"/>
          <w:highlight w:val="none"/>
          <w:u w:val="single"/>
        </w:rPr>
        <w:t xml:space="preserve">    （签字或盖章）  </w:t>
      </w:r>
    </w:p>
    <w:p w14:paraId="3455B885">
      <w:pPr>
        <w:adjustRightInd w:val="0"/>
        <w:spacing w:before="62" w:beforeLines="20" w:after="62" w:afterLines="20" w:line="360" w:lineRule="auto"/>
        <w:rPr>
          <w:rFonts w:hint="eastAsia" w:ascii="宋体" w:hAnsi="宋体"/>
          <w:color w:val="auto"/>
          <w:sz w:val="24"/>
          <w:highlight w:val="none"/>
        </w:rPr>
      </w:pPr>
      <w:r>
        <w:rPr>
          <w:rFonts w:hint="eastAsia" w:ascii="宋体" w:hAnsi="宋体"/>
          <w:color w:val="auto"/>
          <w:sz w:val="24"/>
          <w:highlight w:val="none"/>
        </w:rPr>
        <w:t>邮政编码：</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rPr>
        <w:t>电话：</w:t>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u w:val="single"/>
        </w:rPr>
        <w:tab/>
      </w:r>
      <w:r>
        <w:rPr>
          <w:rFonts w:hint="eastAsia" w:ascii="宋体" w:hAnsi="宋体"/>
          <w:color w:val="auto"/>
          <w:sz w:val="24"/>
          <w:highlight w:val="none"/>
        </w:rPr>
        <w:t xml:space="preserve"> 传真：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5FE14DA2">
      <w:pPr>
        <w:adjustRightInd w:val="0"/>
        <w:spacing w:before="62" w:beforeLines="20" w:after="62" w:afterLines="20" w:line="360" w:lineRule="auto"/>
        <w:rPr>
          <w:rFonts w:hint="eastAsia" w:ascii="宋体" w:hAnsi="宋体"/>
          <w:color w:val="auto"/>
          <w:sz w:val="24"/>
          <w:highlight w:val="none"/>
        </w:rPr>
      </w:pPr>
      <w:r>
        <w:rPr>
          <w:rFonts w:hint="eastAsia" w:ascii="宋体" w:hAnsi="宋体"/>
          <w:color w:val="auto"/>
          <w:sz w:val="24"/>
          <w:highlight w:val="none"/>
        </w:rPr>
        <w:t>开户银行名称：</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rPr>
        <w:t>开户银行账号：</w:t>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r>
        <w:rPr>
          <w:rFonts w:hint="eastAsia" w:ascii="宋体" w:hAnsi="宋体"/>
          <w:color w:val="auto"/>
          <w:sz w:val="24"/>
          <w:highlight w:val="none"/>
          <w:u w:val="single"/>
        </w:rPr>
        <w:tab/>
      </w:r>
      <w:r>
        <w:rPr>
          <w:rFonts w:hint="eastAsia" w:ascii="宋体" w:hAnsi="宋体"/>
          <w:color w:val="auto"/>
          <w:sz w:val="24"/>
          <w:highlight w:val="none"/>
          <w:u w:val="single"/>
        </w:rPr>
        <w:t xml:space="preserve">     </w:t>
      </w:r>
    </w:p>
    <w:p w14:paraId="144E21B6">
      <w:pPr>
        <w:adjustRightInd w:val="0"/>
        <w:spacing w:before="62" w:beforeLines="20" w:after="62" w:afterLines="20" w:line="360" w:lineRule="auto"/>
        <w:rPr>
          <w:rFonts w:hint="eastAsia" w:ascii="宋体" w:hAnsi="宋体"/>
          <w:color w:val="auto"/>
          <w:sz w:val="24"/>
          <w:highlight w:val="none"/>
        </w:rPr>
      </w:pPr>
      <w:r>
        <w:rPr>
          <w:rFonts w:hint="eastAsia" w:ascii="宋体" w:hAnsi="宋体"/>
          <w:color w:val="auto"/>
          <w:sz w:val="24"/>
          <w:highlight w:val="none"/>
        </w:rPr>
        <w:t>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0B1B009">
      <w:pPr>
        <w:pStyle w:val="14"/>
        <w:spacing w:line="360" w:lineRule="auto"/>
        <w:jc w:val="center"/>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投   标   书</w:t>
      </w:r>
    </w:p>
    <w:p w14:paraId="376C2C16">
      <w:pPr>
        <w:spacing w:line="360" w:lineRule="auto"/>
        <w:rPr>
          <w:rFonts w:hint="eastAsia" w:ascii="宋体" w:hAnsi="宋体" w:cs="宋体"/>
          <w:bCs/>
          <w:color w:val="auto"/>
          <w:sz w:val="24"/>
          <w:highlight w:val="none"/>
        </w:rPr>
      </w:pPr>
      <w:r>
        <w:rPr>
          <w:rFonts w:hint="eastAsia" w:ascii="宋体" w:hAnsi="宋体" w:cs="宋体"/>
          <w:bCs/>
          <w:color w:val="auto"/>
          <w:sz w:val="24"/>
          <w:highlight w:val="none"/>
        </w:rPr>
        <w:t xml:space="preserve">                    </w:t>
      </w:r>
    </w:p>
    <w:p w14:paraId="3A2FAD32">
      <w:pPr>
        <w:spacing w:line="440" w:lineRule="exact"/>
        <w:rPr>
          <w:rFonts w:hint="eastAsia" w:ascii="宋体" w:hAnsi="宋体" w:cs="宋体"/>
          <w:bCs/>
          <w:color w:val="auto"/>
          <w:sz w:val="28"/>
          <w:szCs w:val="28"/>
          <w:highlight w:val="none"/>
        </w:rPr>
      </w:pPr>
      <w:r>
        <w:rPr>
          <w:rFonts w:hint="eastAsia" w:ascii="宋体" w:hAnsi="宋体" w:cs="宋体"/>
          <w:bCs/>
          <w:color w:val="auto"/>
          <w:sz w:val="28"/>
          <w:szCs w:val="28"/>
          <w:highlight w:val="none"/>
        </w:rPr>
        <w:t>致：</w:t>
      </w:r>
      <w:r>
        <w:rPr>
          <w:rFonts w:hint="eastAsia" w:ascii="宋体" w:hAnsi="宋体" w:cs="宋体"/>
          <w:color w:val="auto"/>
          <w:sz w:val="28"/>
          <w:szCs w:val="28"/>
          <w:highlight w:val="none"/>
          <w:u w:val="single"/>
        </w:rPr>
        <w:t xml:space="preserve">   （招  标  人  名  称） </w:t>
      </w:r>
      <w:r>
        <w:rPr>
          <w:rFonts w:hint="eastAsia" w:ascii="宋体" w:hAnsi="宋体" w:cs="宋体"/>
          <w:bCs/>
          <w:color w:val="auto"/>
          <w:sz w:val="28"/>
          <w:szCs w:val="28"/>
          <w:highlight w:val="none"/>
        </w:rPr>
        <w:t xml:space="preserve">             </w:t>
      </w:r>
    </w:p>
    <w:p w14:paraId="51B72D6B">
      <w:pPr>
        <w:spacing w:line="440" w:lineRule="exact"/>
        <w:ind w:firstLine="621" w:firstLineChars="222"/>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我方已全面阅读和研究贵方的招标编号为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的</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工程监理招标文件和招标补充文件，并经过对施工现场的踏勘，澄清疑问，已充分理解并掌握了此次工程招标的全部有关情况。同意接受招标文件的全部内容和条件，并按此确定本工程监理投标的全部内容，以本投标书向你方发包的全部内容进行投标。监理费分别为：</w:t>
      </w:r>
    </w:p>
    <w:p w14:paraId="110A6659">
      <w:pPr>
        <w:spacing w:line="440" w:lineRule="exact"/>
        <w:ind w:firstLine="621" w:firstLineChars="222"/>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w:t>
      </w:r>
      <w:r>
        <w:rPr>
          <w:rFonts w:hint="eastAsia" w:ascii="宋体" w:hAnsi="宋体" w:cs="宋体"/>
          <w:color w:val="auto"/>
          <w:sz w:val="28"/>
          <w:szCs w:val="28"/>
          <w:highlight w:val="none"/>
          <w:u w:val="single"/>
          <w:lang w:eastAsia="zh-CN"/>
        </w:rPr>
        <w:t>铜官区露采商业综合楼改造提升工程（</w:t>
      </w:r>
      <w:r>
        <w:rPr>
          <w:rFonts w:hint="eastAsia" w:ascii="宋体" w:hAnsi="宋体" w:cs="宋体"/>
          <w:color w:val="auto"/>
          <w:sz w:val="28"/>
          <w:szCs w:val="28"/>
          <w:highlight w:val="none"/>
          <w:u w:val="single"/>
          <w:lang w:val="en-US" w:eastAsia="zh-CN"/>
        </w:rPr>
        <w:t>改造提升、智能化</w:t>
      </w:r>
      <w:r>
        <w:rPr>
          <w:rFonts w:hint="eastAsia" w:ascii="宋体" w:hAnsi="宋体" w:cs="宋体"/>
          <w:color w:val="auto"/>
          <w:sz w:val="28"/>
          <w:szCs w:val="28"/>
          <w:highlight w:val="none"/>
          <w:u w:val="single"/>
          <w:lang w:eastAsia="zh-CN"/>
        </w:rPr>
        <w:t>）监理服务</w:t>
      </w:r>
      <w:r>
        <w:rPr>
          <w:rFonts w:hint="eastAsia" w:ascii="宋体" w:hAnsi="宋体" w:cs="宋体"/>
          <w:color w:val="auto"/>
          <w:sz w:val="28"/>
          <w:szCs w:val="28"/>
          <w:highlight w:val="none"/>
        </w:rPr>
        <w:t>报价为____________，负责本工程的总监是_________、总监代表是_________、监理人数为 ______人，监理服务期为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，施工质量控制目标为</w:t>
      </w:r>
      <w:r>
        <w:rPr>
          <w:rFonts w:hint="eastAsia" w:ascii="宋体" w:hAnsi="宋体"/>
          <w:color w:val="auto"/>
          <w:sz w:val="28"/>
          <w:szCs w:val="28"/>
          <w:highlight w:val="none"/>
          <w:u w:val="single"/>
        </w:rPr>
        <w:t xml:space="preserve">                 </w:t>
      </w:r>
      <w:r>
        <w:rPr>
          <w:rFonts w:hint="eastAsia" w:ascii="宋体" w:hAnsi="宋体" w:cs="宋体"/>
          <w:color w:val="auto"/>
          <w:sz w:val="28"/>
          <w:szCs w:val="28"/>
          <w:highlight w:val="none"/>
        </w:rPr>
        <w:t>；</w:t>
      </w:r>
    </w:p>
    <w:p w14:paraId="032634F0">
      <w:pPr>
        <w:pStyle w:val="15"/>
        <w:spacing w:line="440" w:lineRule="exact"/>
        <w:ind w:firstLine="621" w:firstLineChars="222"/>
        <w:rPr>
          <w:rFonts w:hint="eastAsia" w:ascii="宋体" w:hAnsi="宋体" w:cs="宋体"/>
          <w:color w:val="auto"/>
          <w:sz w:val="28"/>
          <w:szCs w:val="28"/>
          <w:highlight w:val="none"/>
        </w:rPr>
      </w:pPr>
      <w:r>
        <w:rPr>
          <w:rFonts w:hint="eastAsia" w:ascii="宋体" w:hAnsi="宋体" w:cs="宋体"/>
          <w:color w:val="auto"/>
          <w:sz w:val="28"/>
          <w:szCs w:val="28"/>
          <w:highlight w:val="none"/>
        </w:rPr>
        <w:t>2、我方将严格按照有关建设工程招标投标法规及招标文件的规定参加投标，并理解贵方不一定接受最低标价的投标，对决标结果也没有解释义务。</w:t>
      </w:r>
    </w:p>
    <w:p w14:paraId="168C4D40">
      <w:pPr>
        <w:pStyle w:val="15"/>
        <w:spacing w:line="440" w:lineRule="exact"/>
        <w:ind w:firstLine="621" w:firstLineChars="222"/>
        <w:rPr>
          <w:rFonts w:hint="eastAsia" w:ascii="宋体" w:hAnsi="宋体" w:cs="宋体"/>
          <w:color w:val="auto"/>
          <w:sz w:val="28"/>
          <w:szCs w:val="28"/>
          <w:highlight w:val="none"/>
        </w:rPr>
      </w:pPr>
      <w:r>
        <w:rPr>
          <w:rFonts w:hint="eastAsia" w:ascii="宋体" w:hAnsi="宋体" w:cs="宋体"/>
          <w:color w:val="auto"/>
          <w:sz w:val="28"/>
          <w:szCs w:val="28"/>
          <w:highlight w:val="none"/>
        </w:rPr>
        <w:t>3、如由我方中标，在接到你方发出的中标通知书后在规定的时间内，按中标通知书、招标文件和本投标书的约定与你方签定监理合同，并递交招标文件中规定金额的履约保证金，履行规定的一切责任和义务。</w:t>
      </w:r>
    </w:p>
    <w:p w14:paraId="616C47EE">
      <w:pPr>
        <w:spacing w:line="440" w:lineRule="exact"/>
        <w:ind w:firstLine="621" w:firstLineChars="222"/>
        <w:rPr>
          <w:rFonts w:hint="eastAsia" w:ascii="宋体" w:hAnsi="宋体" w:cs="宋体"/>
          <w:color w:val="auto"/>
          <w:sz w:val="28"/>
          <w:szCs w:val="28"/>
          <w:highlight w:val="none"/>
        </w:rPr>
      </w:pPr>
      <w:r>
        <w:rPr>
          <w:rFonts w:hint="eastAsia" w:ascii="宋体" w:hAnsi="宋体" w:cs="宋体"/>
          <w:color w:val="auto"/>
          <w:sz w:val="28"/>
          <w:szCs w:val="28"/>
          <w:highlight w:val="none"/>
        </w:rPr>
        <w:t>4、我方承认该投标书格式为投标书的组成部分。</w:t>
      </w:r>
    </w:p>
    <w:p w14:paraId="3A0DFC21">
      <w:pPr>
        <w:spacing w:line="440" w:lineRule="exact"/>
        <w:ind w:firstLine="618" w:firstLineChars="221"/>
        <w:rPr>
          <w:rFonts w:hint="eastAsia" w:ascii="宋体" w:hAnsi="宋体" w:cs="宋体"/>
          <w:color w:val="auto"/>
          <w:sz w:val="28"/>
          <w:szCs w:val="28"/>
          <w:highlight w:val="none"/>
        </w:rPr>
      </w:pPr>
      <w:r>
        <w:rPr>
          <w:rFonts w:hint="eastAsia" w:ascii="宋体" w:hAnsi="宋体" w:cs="宋体"/>
          <w:color w:val="auto"/>
          <w:sz w:val="28"/>
          <w:szCs w:val="28"/>
          <w:highlight w:val="none"/>
        </w:rPr>
        <w:t>5、本投标书自递交你方之日起</w:t>
      </w:r>
      <w:r>
        <w:rPr>
          <w:rFonts w:hint="eastAsia" w:ascii="宋体" w:hAnsi="宋体" w:cs="宋体"/>
          <w:color w:val="auto"/>
          <w:sz w:val="28"/>
          <w:szCs w:val="28"/>
          <w:highlight w:val="none"/>
          <w:u w:val="single"/>
        </w:rPr>
        <w:t>90</w:t>
      </w:r>
      <w:r>
        <w:rPr>
          <w:rFonts w:hint="eastAsia" w:ascii="宋体" w:hAnsi="宋体" w:cs="宋体"/>
          <w:color w:val="auto"/>
          <w:sz w:val="28"/>
          <w:szCs w:val="28"/>
          <w:highlight w:val="none"/>
        </w:rPr>
        <w:t>天内有效，在此有效期内，全部条款内容对我方具有约束力，如中标将成为监理合同文件组成部分。</w:t>
      </w:r>
    </w:p>
    <w:p w14:paraId="0B288425">
      <w:pPr>
        <w:spacing w:line="440" w:lineRule="exact"/>
        <w:ind w:firstLine="618" w:firstLineChars="221"/>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6、如由我方中标，我方将委托当地检测机构对检测项目及材料进行随机抽检，费用自行承担。</w:t>
      </w:r>
    </w:p>
    <w:p w14:paraId="4DE44653">
      <w:p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w:t>
      </w:r>
    </w:p>
    <w:p w14:paraId="2257F382">
      <w:pPr>
        <w:spacing w:line="360" w:lineRule="auto"/>
        <w:ind w:firstLine="700" w:firstLineChars="250"/>
        <w:rPr>
          <w:rFonts w:hint="eastAsia" w:ascii="宋体" w:hAnsi="宋体" w:cs="宋体"/>
          <w:color w:val="auto"/>
          <w:sz w:val="28"/>
          <w:szCs w:val="28"/>
          <w:highlight w:val="none"/>
          <w:u w:val="single"/>
        </w:rPr>
      </w:pPr>
      <w:r>
        <w:rPr>
          <w:rFonts w:hint="eastAsia" w:ascii="宋体" w:hAnsi="宋体" w:cs="宋体"/>
          <w:color w:val="auto"/>
          <w:sz w:val="28"/>
          <w:szCs w:val="28"/>
          <w:highlight w:val="none"/>
        </w:rPr>
        <w:t>投标单位（公章）：</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rPr>
        <w:t xml:space="preserve"> </w:t>
      </w:r>
    </w:p>
    <w:p w14:paraId="4EFFC151">
      <w:pPr>
        <w:spacing w:line="360" w:lineRule="auto"/>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法定代表或授权代表（签字或盖章）：</w:t>
      </w:r>
      <w:r>
        <w:rPr>
          <w:rFonts w:hint="eastAsia" w:ascii="宋体" w:hAnsi="宋体" w:cs="宋体"/>
          <w:color w:val="auto"/>
          <w:sz w:val="28"/>
          <w:szCs w:val="28"/>
          <w:highlight w:val="none"/>
          <w:u w:val="single"/>
        </w:rPr>
        <w:t xml:space="preserve">     </w:t>
      </w:r>
    </w:p>
    <w:p w14:paraId="5604DBD1">
      <w:p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联系人：                联系地址：</w:t>
      </w:r>
    </w:p>
    <w:p w14:paraId="08A03FB0">
      <w:p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电话：                  邮编：</w:t>
      </w:r>
    </w:p>
    <w:p w14:paraId="544B388B">
      <w:p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开户银行：              帐号：</w:t>
      </w:r>
    </w:p>
    <w:p w14:paraId="595AFC27">
      <w:pPr>
        <w:spacing w:line="400" w:lineRule="exact"/>
        <w:jc w:val="righ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年  月  日</w:t>
      </w:r>
    </w:p>
    <w:p w14:paraId="321F060F">
      <w:pPr>
        <w:spacing w:line="400" w:lineRule="exact"/>
        <w:jc w:val="center"/>
        <w:rPr>
          <w:rFonts w:hint="eastAsia" w:ascii="宋体" w:hAnsi="宋体" w:cs="宋体"/>
          <w:b/>
          <w:bCs/>
          <w:color w:val="auto"/>
          <w:sz w:val="36"/>
          <w:highlight w:val="none"/>
        </w:rPr>
      </w:pPr>
      <w:r>
        <w:rPr>
          <w:rFonts w:hint="eastAsia" w:ascii="宋体" w:hAnsi="宋体" w:cs="宋体"/>
          <w:color w:val="auto"/>
          <w:sz w:val="28"/>
          <w:szCs w:val="28"/>
          <w:highlight w:val="none"/>
        </w:rPr>
        <w:br w:type="page"/>
      </w:r>
      <w:r>
        <w:rPr>
          <w:rFonts w:hint="eastAsia" w:ascii="宋体" w:hAnsi="宋体" w:eastAsia="宋体" w:cs="Times New Roman"/>
          <w:b/>
          <w:color w:val="auto"/>
          <w:kern w:val="2"/>
          <w:sz w:val="28"/>
          <w:szCs w:val="28"/>
          <w:highlight w:val="none"/>
          <w:lang w:val="en-US" w:eastAsia="zh-CN" w:bidi="ar-SA"/>
        </w:rPr>
        <w:t>无被限制投标承诺函</w:t>
      </w:r>
    </w:p>
    <w:p w14:paraId="16D2C12E">
      <w:pPr>
        <w:tabs>
          <w:tab w:val="left" w:pos="7560"/>
        </w:tabs>
        <w:adjustRightInd w:val="0"/>
        <w:spacing w:before="62" w:beforeLines="20" w:after="62" w:afterLines="20" w:line="360" w:lineRule="auto"/>
        <w:rPr>
          <w:rFonts w:hint="eastAsia" w:ascii="宋体" w:hAnsi="宋体"/>
          <w:color w:val="auto"/>
          <w:sz w:val="24"/>
          <w:highlight w:val="none"/>
        </w:rPr>
      </w:pPr>
    </w:p>
    <w:p w14:paraId="5801073E">
      <w:pPr>
        <w:tabs>
          <w:tab w:val="left" w:pos="7560"/>
        </w:tabs>
        <w:adjustRightInd w:val="0"/>
        <w:spacing w:before="62" w:beforeLines="20" w:after="62" w:afterLines="20" w:line="360" w:lineRule="auto"/>
        <w:rPr>
          <w:rFonts w:hint="eastAsia" w:ascii="宋体" w:hAnsi="宋体"/>
          <w:color w:val="auto"/>
          <w:sz w:val="28"/>
          <w:szCs w:val="28"/>
          <w:highlight w:val="none"/>
        </w:rPr>
      </w:pPr>
      <w:r>
        <w:rPr>
          <w:rFonts w:hint="eastAsia" w:ascii="宋体" w:hAnsi="宋体"/>
          <w:color w:val="auto"/>
          <w:sz w:val="28"/>
          <w:szCs w:val="28"/>
          <w:highlight w:val="none"/>
        </w:rPr>
        <w:t>致：招标人</w:t>
      </w:r>
    </w:p>
    <w:p w14:paraId="0E959C61">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r>
        <w:rPr>
          <w:rFonts w:hint="eastAsia" w:ascii="宋体" w:hAnsi="宋体"/>
          <w:color w:val="auto"/>
          <w:sz w:val="28"/>
          <w:szCs w:val="28"/>
          <w:highlight w:val="none"/>
          <w:u w:val="single"/>
        </w:rPr>
        <w:t xml:space="preserve">      （投标单位名称）      </w:t>
      </w:r>
      <w:r>
        <w:rPr>
          <w:rFonts w:hint="eastAsia" w:ascii="宋体" w:hAnsi="宋体"/>
          <w:color w:val="auto"/>
          <w:sz w:val="28"/>
          <w:szCs w:val="28"/>
          <w:highlight w:val="none"/>
        </w:rPr>
        <w:t>承诺，至投标截止之日，我公司</w:t>
      </w:r>
      <w:r>
        <w:rPr>
          <w:rFonts w:ascii="宋体" w:hAnsi="宋体" w:cs="宋体"/>
          <w:color w:val="auto"/>
          <w:sz w:val="28"/>
          <w:szCs w:val="28"/>
          <w:highlight w:val="none"/>
        </w:rPr>
        <w:t>及拟派项目总监理工程师均</w:t>
      </w:r>
      <w:r>
        <w:rPr>
          <w:rFonts w:hint="eastAsia" w:ascii="宋体" w:hAnsi="宋体"/>
          <w:color w:val="auto"/>
          <w:sz w:val="28"/>
          <w:szCs w:val="28"/>
          <w:highlight w:val="none"/>
        </w:rPr>
        <w:t>不在</w:t>
      </w:r>
      <w:r>
        <w:rPr>
          <w:rFonts w:hint="eastAsia" w:ascii="宋体" w:hAnsi="宋体" w:cs="宋体"/>
          <w:color w:val="auto"/>
          <w:sz w:val="28"/>
          <w:szCs w:val="28"/>
          <w:highlight w:val="none"/>
        </w:rPr>
        <w:t>招投标行政监管部门和政府行业监管部门</w:t>
      </w:r>
      <w:r>
        <w:rPr>
          <w:rFonts w:hint="eastAsia" w:ascii="宋体" w:hAnsi="宋体"/>
          <w:color w:val="auto"/>
          <w:sz w:val="28"/>
          <w:szCs w:val="28"/>
          <w:highlight w:val="none"/>
        </w:rPr>
        <w:t>限制投标处罚期内。</w:t>
      </w:r>
    </w:p>
    <w:p w14:paraId="3A532EAC">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特此承诺。</w:t>
      </w:r>
    </w:p>
    <w:p w14:paraId="740B9747">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p>
    <w:p w14:paraId="0A5D0CEA">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p>
    <w:p w14:paraId="600D5BCA">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p>
    <w:p w14:paraId="549E166B">
      <w:pPr>
        <w:tabs>
          <w:tab w:val="left" w:pos="7560"/>
        </w:tabs>
        <w:adjustRightInd w:val="0"/>
        <w:spacing w:before="62" w:beforeLines="20" w:after="62" w:afterLines="20" w:line="360" w:lineRule="auto"/>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 xml:space="preserve">                                     </w:t>
      </w:r>
    </w:p>
    <w:p w14:paraId="15BAEC42">
      <w:pPr>
        <w:ind w:firstLine="570"/>
        <w:rPr>
          <w:rFonts w:hint="eastAsia" w:ascii="宋体" w:hAnsi="宋体" w:cs="宋体"/>
          <w:bCs/>
          <w:color w:val="auto"/>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 xml:space="preserve"> </w:t>
      </w:r>
      <w:r>
        <w:rPr>
          <w:rFonts w:hint="eastAsia" w:ascii="宋体" w:hAnsi="宋体" w:cs="宋体"/>
          <w:bCs/>
          <w:color w:val="auto"/>
          <w:sz w:val="28"/>
          <w:szCs w:val="28"/>
          <w:highlight w:val="none"/>
        </w:rPr>
        <w:t>投标人名称（盖章）：</w:t>
      </w:r>
      <w:r>
        <w:rPr>
          <w:rFonts w:hint="eastAsia" w:ascii="宋体" w:hAnsi="宋体" w:cs="宋体"/>
          <w:bCs/>
          <w:color w:val="auto"/>
          <w:sz w:val="28"/>
          <w:szCs w:val="28"/>
          <w:highlight w:val="none"/>
          <w:u w:val="single"/>
        </w:rPr>
        <w:t xml:space="preserve">                  </w:t>
      </w:r>
    </w:p>
    <w:p w14:paraId="6F66BFE4">
      <w:pPr>
        <w:ind w:firstLine="570"/>
        <w:rPr>
          <w:rFonts w:hint="eastAsia" w:ascii="宋体" w:hAnsi="宋体" w:cs="宋体"/>
          <w:bCs/>
          <w:color w:val="auto"/>
          <w:sz w:val="28"/>
          <w:szCs w:val="28"/>
          <w:highlight w:val="none"/>
        </w:rPr>
      </w:pPr>
    </w:p>
    <w:p w14:paraId="2ACC85FD">
      <w:pPr>
        <w:ind w:firstLine="1405" w:firstLineChars="502"/>
        <w:rPr>
          <w:rFonts w:hint="eastAsia" w:ascii="宋体" w:hAnsi="宋体" w:eastAsia="宋体" w:cs="宋体"/>
          <w:bCs/>
          <w:color w:val="auto"/>
          <w:sz w:val="28"/>
          <w:szCs w:val="28"/>
          <w:highlight w:val="none"/>
          <w:lang w:val="en-US" w:eastAsia="zh-CN"/>
        </w:rPr>
      </w:pPr>
      <w:r>
        <w:rPr>
          <w:rFonts w:hint="eastAsia" w:ascii="宋体" w:hAnsi="宋体" w:cs="宋体"/>
          <w:bCs/>
          <w:color w:val="auto"/>
          <w:sz w:val="28"/>
          <w:szCs w:val="28"/>
          <w:highlight w:val="none"/>
        </w:rPr>
        <w:t>法定代表人（签字或盖章）：</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p>
    <w:p w14:paraId="042FB021">
      <w:pPr>
        <w:ind w:firstLine="570"/>
        <w:rPr>
          <w:rFonts w:hint="eastAsia" w:ascii="宋体" w:hAnsi="宋体" w:cs="宋体"/>
          <w:bCs/>
          <w:color w:val="auto"/>
          <w:sz w:val="28"/>
          <w:szCs w:val="28"/>
          <w:highlight w:val="none"/>
        </w:rPr>
      </w:pPr>
    </w:p>
    <w:p w14:paraId="6A3DDA98">
      <w:pPr>
        <w:ind w:firstLine="2245" w:firstLineChars="802"/>
        <w:rPr>
          <w:rFonts w:hint="eastAsia" w:ascii="宋体" w:hAnsi="宋体" w:cs="宋体"/>
          <w:bCs/>
          <w:color w:val="auto"/>
          <w:sz w:val="28"/>
          <w:szCs w:val="28"/>
          <w:highlight w:val="none"/>
        </w:rPr>
      </w:pPr>
      <w:r>
        <w:rPr>
          <w:rFonts w:hint="eastAsia" w:ascii="宋体" w:hAnsi="宋体" w:cs="宋体"/>
          <w:bCs/>
          <w:color w:val="auto"/>
          <w:sz w:val="28"/>
          <w:szCs w:val="28"/>
          <w:highlight w:val="none"/>
        </w:rPr>
        <w:t>日  期：      年    月    日</w:t>
      </w:r>
    </w:p>
    <w:p w14:paraId="5CE2492B">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423DBCD2">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2AE7FAC9">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7884252D">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63BBF43F">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70EB0795">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5A42B6DE">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0721752F">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5C4EB9B8">
      <w:pPr>
        <w:spacing w:line="400" w:lineRule="exact"/>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关于总监理工程师现场到位率的承诺</w:t>
      </w:r>
    </w:p>
    <w:p w14:paraId="06825C9E">
      <w:pPr>
        <w:spacing w:line="400" w:lineRule="exact"/>
        <w:jc w:val="center"/>
        <w:rPr>
          <w:rFonts w:hint="eastAsia" w:ascii="宋体" w:hAnsi="宋体" w:cs="宋体"/>
          <w:b/>
          <w:bCs/>
          <w:color w:val="auto"/>
          <w:sz w:val="44"/>
          <w:szCs w:val="44"/>
          <w:highlight w:val="none"/>
        </w:rPr>
      </w:pPr>
    </w:p>
    <w:p w14:paraId="09A11A86">
      <w:pPr>
        <w:spacing w:line="400" w:lineRule="exact"/>
        <w:jc w:val="center"/>
        <w:rPr>
          <w:rFonts w:hint="eastAsia" w:ascii="宋体" w:hAnsi="宋体" w:cs="宋体"/>
          <w:bCs/>
          <w:color w:val="auto"/>
          <w:sz w:val="28"/>
          <w:szCs w:val="28"/>
          <w:highlight w:val="none"/>
        </w:rPr>
      </w:pPr>
    </w:p>
    <w:p w14:paraId="3303412F">
      <w:pPr>
        <w:spacing w:line="400" w:lineRule="exact"/>
        <w:rPr>
          <w:rFonts w:hint="eastAsia" w:ascii="宋体" w:hAnsi="宋体" w:cs="宋体"/>
          <w:bCs/>
          <w:color w:val="auto"/>
          <w:sz w:val="28"/>
          <w:szCs w:val="28"/>
          <w:highlight w:val="none"/>
        </w:rPr>
      </w:pPr>
      <w:r>
        <w:rPr>
          <w:rFonts w:hint="eastAsia" w:ascii="宋体" w:hAnsi="宋体" w:cs="宋体"/>
          <w:bCs/>
          <w:color w:val="auto"/>
          <w:sz w:val="28"/>
          <w:szCs w:val="28"/>
          <w:highlight w:val="none"/>
        </w:rPr>
        <w:t>致：</w:t>
      </w:r>
      <w:r>
        <w:rPr>
          <w:rFonts w:hint="eastAsia" w:ascii="宋体" w:hAnsi="宋体" w:cs="宋体"/>
          <w:color w:val="auto"/>
          <w:sz w:val="28"/>
          <w:szCs w:val="28"/>
          <w:highlight w:val="none"/>
          <w:u w:val="single"/>
        </w:rPr>
        <w:t xml:space="preserve">   （招 标  人  名  称）  </w:t>
      </w:r>
    </w:p>
    <w:p w14:paraId="2F709A97">
      <w:pPr>
        <w:spacing w:line="400" w:lineRule="exact"/>
        <w:rPr>
          <w:rFonts w:hint="eastAsia" w:ascii="宋体" w:hAnsi="宋体" w:cs="宋体"/>
          <w:bCs/>
          <w:color w:val="auto"/>
          <w:sz w:val="28"/>
          <w:szCs w:val="28"/>
          <w:highlight w:val="none"/>
        </w:rPr>
      </w:pPr>
    </w:p>
    <w:p w14:paraId="5066CD31">
      <w:pPr>
        <w:ind w:firstLine="570"/>
        <w:rPr>
          <w:rFonts w:hint="eastAsia" w:ascii="宋体" w:hAnsi="宋体" w:cs="宋体"/>
          <w:b/>
          <w:color w:val="auto"/>
          <w:sz w:val="28"/>
          <w:szCs w:val="28"/>
          <w:highlight w:val="none"/>
        </w:rPr>
      </w:pPr>
      <w:r>
        <w:rPr>
          <w:rFonts w:hint="eastAsia" w:ascii="宋体" w:hAnsi="宋体" w:cs="宋体"/>
          <w:bCs/>
          <w:color w:val="auto"/>
          <w:sz w:val="28"/>
          <w:szCs w:val="28"/>
          <w:highlight w:val="none"/>
        </w:rPr>
        <w:t>如中标，参与</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工程的施工监理，我公司将派具有类似监理经验的</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（填写项目总监名称、监理资格证书编号）为本工程的项目总监，并保证项目总监到位率在</w:t>
      </w:r>
      <w:r>
        <w:rPr>
          <w:rFonts w:hint="eastAsia" w:ascii="宋体" w:hAnsi="宋体" w:cs="宋体"/>
          <w:bCs/>
          <w:color w:val="auto"/>
          <w:sz w:val="28"/>
          <w:szCs w:val="28"/>
          <w:highlight w:val="none"/>
          <w:u w:val="single"/>
        </w:rPr>
        <w:t xml:space="preserve"> 100 </w:t>
      </w:r>
      <w:r>
        <w:rPr>
          <w:rFonts w:hint="eastAsia" w:ascii="宋体" w:hAnsi="宋体" w:cs="宋体"/>
          <w:bCs/>
          <w:color w:val="auto"/>
          <w:sz w:val="28"/>
          <w:szCs w:val="28"/>
          <w:highlight w:val="none"/>
        </w:rPr>
        <w:t>%，即每月不少于</w:t>
      </w:r>
      <w:r>
        <w:rPr>
          <w:rFonts w:hint="eastAsia" w:ascii="宋体" w:hAnsi="宋体" w:cs="宋体"/>
          <w:bCs/>
          <w:color w:val="auto"/>
          <w:sz w:val="28"/>
          <w:szCs w:val="28"/>
          <w:highlight w:val="none"/>
          <w:u w:val="single"/>
        </w:rPr>
        <w:t xml:space="preserve"> 28 </w:t>
      </w:r>
      <w:r>
        <w:rPr>
          <w:rFonts w:hint="eastAsia" w:ascii="宋体" w:hAnsi="宋体" w:cs="宋体"/>
          <w:bCs/>
          <w:color w:val="auto"/>
          <w:sz w:val="28"/>
          <w:szCs w:val="28"/>
          <w:highlight w:val="none"/>
        </w:rPr>
        <w:t>日历天，合同期间不再担任其他工程监理业务。现场固定监理人员数每天不少于本工程监理机构人员配备最低要求规定的人数，每月到位率100%。如违反此承诺，愿按合同有关规定接受处罚。</w:t>
      </w:r>
    </w:p>
    <w:p w14:paraId="2A2BB5CE">
      <w:pPr>
        <w:rPr>
          <w:rFonts w:hint="eastAsia" w:ascii="宋体" w:hAnsi="宋体" w:cs="宋体"/>
          <w:bCs/>
          <w:color w:val="auto"/>
          <w:sz w:val="28"/>
          <w:szCs w:val="28"/>
          <w:highlight w:val="none"/>
        </w:rPr>
      </w:pPr>
    </w:p>
    <w:p w14:paraId="6BEFB9CC">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投标人名称（盖章）：</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cs="宋体"/>
          <w:bCs/>
          <w:color w:val="auto"/>
          <w:sz w:val="28"/>
          <w:szCs w:val="28"/>
          <w:highlight w:val="none"/>
          <w:u w:val="single"/>
        </w:rPr>
        <w:t xml:space="preserve">  </w:t>
      </w:r>
    </w:p>
    <w:p w14:paraId="54638C7F">
      <w:pPr>
        <w:ind w:firstLine="570"/>
        <w:rPr>
          <w:rFonts w:hint="eastAsia" w:ascii="宋体" w:hAnsi="宋体" w:cs="宋体"/>
          <w:bCs/>
          <w:color w:val="auto"/>
          <w:sz w:val="28"/>
          <w:szCs w:val="28"/>
          <w:highlight w:val="none"/>
        </w:rPr>
      </w:pPr>
    </w:p>
    <w:p w14:paraId="43FF54C1">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法定代表人（签字或盖章）：</w:t>
      </w:r>
      <w:r>
        <w:rPr>
          <w:rFonts w:hint="eastAsia" w:ascii="宋体" w:hAnsi="宋体" w:cs="宋体"/>
          <w:bCs/>
          <w:color w:val="auto"/>
          <w:sz w:val="28"/>
          <w:szCs w:val="28"/>
          <w:highlight w:val="none"/>
          <w:u w:val="single"/>
        </w:rPr>
        <w:t xml:space="preserve">                      </w:t>
      </w:r>
    </w:p>
    <w:p w14:paraId="4CCF73CE">
      <w:pPr>
        <w:ind w:firstLine="570"/>
        <w:rPr>
          <w:rFonts w:hint="eastAsia" w:ascii="宋体" w:hAnsi="宋体" w:cs="宋体"/>
          <w:bCs/>
          <w:color w:val="auto"/>
          <w:sz w:val="28"/>
          <w:szCs w:val="28"/>
          <w:highlight w:val="none"/>
        </w:rPr>
      </w:pPr>
    </w:p>
    <w:p w14:paraId="73FB6741">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日  期：      年    月    日</w:t>
      </w:r>
    </w:p>
    <w:p w14:paraId="0B235A8A">
      <w:pPr>
        <w:spacing w:line="360" w:lineRule="auto"/>
        <w:jc w:val="center"/>
        <w:rPr>
          <w:rFonts w:hint="eastAsia" w:ascii="宋体" w:hAnsi="宋体" w:cs="宋体"/>
          <w:b/>
          <w:bCs/>
          <w:color w:val="auto"/>
          <w:sz w:val="36"/>
          <w:szCs w:val="22"/>
          <w:highlight w:val="none"/>
        </w:rPr>
      </w:pPr>
    </w:p>
    <w:p w14:paraId="5651EEE2">
      <w:pPr>
        <w:spacing w:line="360" w:lineRule="auto"/>
        <w:jc w:val="center"/>
        <w:rPr>
          <w:rFonts w:hint="eastAsia" w:ascii="宋体" w:hAnsi="宋体" w:cs="宋体"/>
          <w:b/>
          <w:bCs/>
          <w:color w:val="auto"/>
          <w:sz w:val="36"/>
          <w:szCs w:val="22"/>
          <w:highlight w:val="none"/>
        </w:rPr>
      </w:pPr>
    </w:p>
    <w:p w14:paraId="22141E0F">
      <w:pPr>
        <w:spacing w:line="360" w:lineRule="auto"/>
        <w:jc w:val="center"/>
        <w:rPr>
          <w:rFonts w:hint="eastAsia" w:ascii="宋体" w:hAnsi="宋体" w:cs="宋体"/>
          <w:b/>
          <w:bCs/>
          <w:color w:val="auto"/>
          <w:sz w:val="36"/>
          <w:szCs w:val="22"/>
          <w:highlight w:val="none"/>
        </w:rPr>
      </w:pPr>
    </w:p>
    <w:p w14:paraId="58094B44">
      <w:pPr>
        <w:spacing w:line="360" w:lineRule="auto"/>
        <w:jc w:val="center"/>
        <w:rPr>
          <w:rFonts w:hint="eastAsia" w:ascii="宋体" w:hAnsi="宋体" w:cs="宋体"/>
          <w:b/>
          <w:bCs/>
          <w:color w:val="auto"/>
          <w:sz w:val="36"/>
          <w:szCs w:val="22"/>
          <w:highlight w:val="none"/>
        </w:rPr>
      </w:pPr>
    </w:p>
    <w:p w14:paraId="3E5FFAAC">
      <w:pPr>
        <w:spacing w:line="360" w:lineRule="auto"/>
        <w:jc w:val="center"/>
        <w:rPr>
          <w:rFonts w:hint="eastAsia" w:ascii="宋体" w:hAnsi="宋体" w:cs="宋体"/>
          <w:b/>
          <w:bCs/>
          <w:color w:val="auto"/>
          <w:sz w:val="36"/>
          <w:szCs w:val="22"/>
          <w:highlight w:val="none"/>
        </w:rPr>
      </w:pPr>
    </w:p>
    <w:p w14:paraId="1EFB2007">
      <w:pPr>
        <w:spacing w:line="360" w:lineRule="auto"/>
        <w:jc w:val="center"/>
        <w:rPr>
          <w:rFonts w:hint="eastAsia" w:ascii="宋体" w:hAnsi="宋体" w:cs="宋体"/>
          <w:b/>
          <w:bCs/>
          <w:color w:val="auto"/>
          <w:sz w:val="36"/>
          <w:szCs w:val="22"/>
          <w:highlight w:val="none"/>
        </w:rPr>
      </w:pPr>
    </w:p>
    <w:p w14:paraId="47045ADF">
      <w:pPr>
        <w:spacing w:line="360" w:lineRule="auto"/>
        <w:jc w:val="center"/>
        <w:rPr>
          <w:rFonts w:hint="eastAsia" w:ascii="宋体" w:hAnsi="宋体" w:cs="宋体"/>
          <w:b/>
          <w:bCs/>
          <w:color w:val="auto"/>
          <w:sz w:val="36"/>
          <w:szCs w:val="22"/>
          <w:highlight w:val="none"/>
        </w:rPr>
      </w:pPr>
    </w:p>
    <w:p w14:paraId="71E20E67">
      <w:pPr>
        <w:spacing w:line="360" w:lineRule="auto"/>
        <w:jc w:val="center"/>
        <w:rPr>
          <w:rFonts w:hint="eastAsia" w:ascii="宋体" w:hAnsi="宋体" w:cs="宋体"/>
          <w:b/>
          <w:bCs/>
          <w:color w:val="auto"/>
          <w:sz w:val="36"/>
          <w:szCs w:val="22"/>
          <w:highlight w:val="none"/>
        </w:rPr>
      </w:pPr>
    </w:p>
    <w:p w14:paraId="432F3041">
      <w:pPr>
        <w:spacing w:line="400" w:lineRule="exact"/>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关于拟派总监理工程师不得有异地在监项目的承诺</w:t>
      </w:r>
    </w:p>
    <w:p w14:paraId="272091A8">
      <w:pPr>
        <w:spacing w:line="400" w:lineRule="exact"/>
        <w:rPr>
          <w:rFonts w:hint="eastAsia" w:ascii="宋体" w:hAnsi="宋体" w:cs="宋体"/>
          <w:bCs/>
          <w:color w:val="auto"/>
          <w:sz w:val="28"/>
          <w:szCs w:val="28"/>
          <w:highlight w:val="none"/>
        </w:rPr>
      </w:pPr>
    </w:p>
    <w:p w14:paraId="28EDB64D">
      <w:pPr>
        <w:spacing w:line="400" w:lineRule="exact"/>
        <w:rPr>
          <w:rFonts w:hint="eastAsia" w:ascii="宋体" w:hAnsi="宋体" w:cs="宋体"/>
          <w:bCs/>
          <w:color w:val="auto"/>
          <w:sz w:val="28"/>
          <w:szCs w:val="28"/>
          <w:highlight w:val="none"/>
        </w:rPr>
      </w:pPr>
    </w:p>
    <w:p w14:paraId="1B61D80E">
      <w:pPr>
        <w:spacing w:line="400" w:lineRule="exact"/>
        <w:rPr>
          <w:rFonts w:hint="eastAsia" w:ascii="宋体" w:hAnsi="宋体" w:cs="宋体"/>
          <w:bCs/>
          <w:color w:val="auto"/>
          <w:sz w:val="28"/>
          <w:szCs w:val="28"/>
          <w:highlight w:val="none"/>
        </w:rPr>
      </w:pPr>
      <w:r>
        <w:rPr>
          <w:rFonts w:hint="eastAsia" w:ascii="宋体" w:hAnsi="宋体" w:cs="宋体"/>
          <w:bCs/>
          <w:color w:val="auto"/>
          <w:sz w:val="28"/>
          <w:szCs w:val="28"/>
          <w:highlight w:val="none"/>
        </w:rPr>
        <w:t>致：</w:t>
      </w:r>
      <w:r>
        <w:rPr>
          <w:rFonts w:hint="eastAsia" w:ascii="宋体" w:hAnsi="宋体" w:cs="宋体"/>
          <w:color w:val="auto"/>
          <w:sz w:val="28"/>
          <w:szCs w:val="28"/>
          <w:highlight w:val="none"/>
          <w:u w:val="single"/>
        </w:rPr>
        <w:t xml:space="preserve">   （招 标  人  名  称）  </w:t>
      </w:r>
    </w:p>
    <w:p w14:paraId="2D8B3427">
      <w:pPr>
        <w:spacing w:line="400" w:lineRule="exact"/>
        <w:rPr>
          <w:rFonts w:hint="eastAsia" w:ascii="宋体" w:hAnsi="宋体" w:cs="宋体"/>
          <w:bCs/>
          <w:color w:val="auto"/>
          <w:sz w:val="28"/>
          <w:szCs w:val="28"/>
          <w:highlight w:val="none"/>
        </w:rPr>
      </w:pPr>
    </w:p>
    <w:p w14:paraId="370A0B99">
      <w:pPr>
        <w:ind w:firstLine="570"/>
        <w:rPr>
          <w:rFonts w:hint="eastAsia" w:ascii="宋体" w:hAnsi="宋体" w:cs="宋体"/>
          <w:b/>
          <w:color w:val="auto"/>
          <w:sz w:val="28"/>
          <w:szCs w:val="28"/>
          <w:highlight w:val="none"/>
        </w:rPr>
      </w:pPr>
      <w:r>
        <w:rPr>
          <w:rFonts w:hint="eastAsia" w:ascii="宋体" w:hAnsi="宋体" w:cs="宋体"/>
          <w:bCs/>
          <w:color w:val="auto"/>
          <w:sz w:val="28"/>
          <w:szCs w:val="28"/>
          <w:highlight w:val="none"/>
        </w:rPr>
        <w:t>如中标，参与</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工程的施工监理，我公司将派具有类似监理经验的</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（填写项目总监名称、监理资格证书编号）为本工程的项目总监，并承诺拟派总监理工程师无异地在监项目。如违反此承诺，愿按招标有关规定接受处罚。</w:t>
      </w:r>
    </w:p>
    <w:p w14:paraId="63D4AD32">
      <w:pPr>
        <w:rPr>
          <w:rFonts w:hint="eastAsia" w:ascii="宋体" w:hAnsi="宋体" w:cs="宋体"/>
          <w:bCs/>
          <w:color w:val="auto"/>
          <w:sz w:val="28"/>
          <w:szCs w:val="28"/>
          <w:highlight w:val="none"/>
        </w:rPr>
      </w:pPr>
    </w:p>
    <w:p w14:paraId="0040EEAA">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投标人名称（盖章）：</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cs="宋体"/>
          <w:bCs/>
          <w:color w:val="auto"/>
          <w:sz w:val="28"/>
          <w:szCs w:val="28"/>
          <w:highlight w:val="none"/>
          <w:u w:val="single"/>
        </w:rPr>
        <w:t xml:space="preserve">       </w:t>
      </w:r>
    </w:p>
    <w:p w14:paraId="258440B6">
      <w:pPr>
        <w:ind w:firstLine="570"/>
        <w:rPr>
          <w:rFonts w:hint="eastAsia" w:ascii="宋体" w:hAnsi="宋体" w:cs="宋体"/>
          <w:bCs/>
          <w:color w:val="auto"/>
          <w:sz w:val="28"/>
          <w:szCs w:val="28"/>
          <w:highlight w:val="none"/>
        </w:rPr>
      </w:pPr>
    </w:p>
    <w:p w14:paraId="0F10B522">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法定代表人（签字或盖章）：</w:t>
      </w:r>
      <w:r>
        <w:rPr>
          <w:rFonts w:hint="eastAsia" w:ascii="宋体" w:hAnsi="宋体" w:cs="宋体"/>
          <w:bCs/>
          <w:color w:val="auto"/>
          <w:sz w:val="28"/>
          <w:szCs w:val="28"/>
          <w:highlight w:val="none"/>
          <w:u w:val="single"/>
        </w:rPr>
        <w:t xml:space="preserve">                        </w:t>
      </w:r>
    </w:p>
    <w:p w14:paraId="62BA2037">
      <w:pPr>
        <w:ind w:firstLine="570"/>
        <w:rPr>
          <w:rFonts w:hint="eastAsia" w:ascii="宋体" w:hAnsi="宋体" w:cs="宋体"/>
          <w:bCs/>
          <w:color w:val="auto"/>
          <w:sz w:val="28"/>
          <w:szCs w:val="28"/>
          <w:highlight w:val="none"/>
        </w:rPr>
      </w:pPr>
    </w:p>
    <w:p w14:paraId="431CBDF9">
      <w:pPr>
        <w:ind w:firstLine="570"/>
        <w:rPr>
          <w:rFonts w:hint="eastAsia" w:ascii="宋体" w:hAnsi="宋体" w:cs="宋体"/>
          <w:bCs/>
          <w:color w:val="auto"/>
          <w:sz w:val="28"/>
          <w:szCs w:val="28"/>
          <w:highlight w:val="none"/>
        </w:rPr>
      </w:pPr>
      <w:r>
        <w:rPr>
          <w:rFonts w:hint="eastAsia" w:ascii="宋体" w:hAnsi="宋体" w:cs="宋体"/>
          <w:bCs/>
          <w:color w:val="auto"/>
          <w:sz w:val="28"/>
          <w:szCs w:val="28"/>
          <w:highlight w:val="none"/>
        </w:rPr>
        <w:t>日  期：      年    月    日</w:t>
      </w:r>
    </w:p>
    <w:p w14:paraId="3FE80301">
      <w:pPr>
        <w:spacing w:line="360" w:lineRule="auto"/>
        <w:jc w:val="center"/>
        <w:rPr>
          <w:rFonts w:hint="eastAsia" w:ascii="宋体" w:hAnsi="宋体" w:cs="宋体"/>
          <w:b/>
          <w:bCs/>
          <w:color w:val="auto"/>
          <w:sz w:val="36"/>
          <w:szCs w:val="22"/>
          <w:highlight w:val="none"/>
        </w:rPr>
      </w:pPr>
    </w:p>
    <w:p w14:paraId="54E657A3">
      <w:pPr>
        <w:spacing w:line="360" w:lineRule="auto"/>
        <w:jc w:val="center"/>
        <w:rPr>
          <w:rFonts w:hint="eastAsia" w:ascii="宋体" w:hAnsi="宋体" w:cs="宋体"/>
          <w:b/>
          <w:bCs/>
          <w:color w:val="auto"/>
          <w:sz w:val="36"/>
          <w:szCs w:val="22"/>
          <w:highlight w:val="none"/>
        </w:rPr>
      </w:pPr>
    </w:p>
    <w:p w14:paraId="014F7498">
      <w:pPr>
        <w:tabs>
          <w:tab w:val="left" w:pos="7560"/>
        </w:tabs>
        <w:adjustRightInd w:val="0"/>
        <w:spacing w:before="62" w:beforeLines="20" w:after="62" w:afterLines="20" w:line="360" w:lineRule="auto"/>
        <w:ind w:firstLine="562" w:firstLineChars="200"/>
        <w:jc w:val="center"/>
        <w:rPr>
          <w:rFonts w:hint="eastAsia" w:ascii="宋体" w:hAnsi="宋体"/>
          <w:b/>
          <w:bCs/>
          <w:color w:val="auto"/>
          <w:sz w:val="28"/>
          <w:szCs w:val="28"/>
          <w:highlight w:val="none"/>
        </w:rPr>
      </w:pPr>
    </w:p>
    <w:p w14:paraId="0BDB1EC2">
      <w:pPr>
        <w:tabs>
          <w:tab w:val="left" w:pos="7560"/>
        </w:tabs>
        <w:adjustRightInd w:val="0"/>
        <w:spacing w:before="62" w:beforeLines="20" w:after="62" w:afterLines="20" w:line="360" w:lineRule="auto"/>
        <w:rPr>
          <w:rFonts w:hint="eastAsia" w:ascii="宋体" w:hAnsi="宋体"/>
          <w:b/>
          <w:bCs/>
          <w:color w:val="auto"/>
          <w:sz w:val="28"/>
          <w:szCs w:val="28"/>
          <w:highlight w:val="none"/>
        </w:rPr>
      </w:pPr>
    </w:p>
    <w:p w14:paraId="4B3331BA">
      <w:pPr>
        <w:tabs>
          <w:tab w:val="left" w:pos="7560"/>
        </w:tabs>
        <w:adjustRightInd w:val="0"/>
        <w:spacing w:before="62" w:beforeLines="20" w:after="62" w:afterLines="20" w:line="360" w:lineRule="auto"/>
        <w:rPr>
          <w:rFonts w:ascii="宋体" w:hAnsi="宋体"/>
          <w:b/>
          <w:bCs/>
          <w:color w:val="auto"/>
          <w:sz w:val="28"/>
          <w:szCs w:val="28"/>
          <w:highlight w:val="none"/>
        </w:rPr>
      </w:pPr>
    </w:p>
    <w:p w14:paraId="06F6557F">
      <w:pPr>
        <w:tabs>
          <w:tab w:val="left" w:pos="7560"/>
        </w:tabs>
        <w:adjustRightInd w:val="0"/>
        <w:spacing w:before="62" w:beforeLines="20" w:after="62" w:afterLines="20" w:line="360" w:lineRule="auto"/>
        <w:rPr>
          <w:rFonts w:ascii="宋体" w:hAnsi="宋体"/>
          <w:b/>
          <w:bCs/>
          <w:color w:val="auto"/>
          <w:sz w:val="28"/>
          <w:szCs w:val="28"/>
          <w:highlight w:val="none"/>
        </w:rPr>
      </w:pPr>
    </w:p>
    <w:p w14:paraId="56BB2F10">
      <w:pPr>
        <w:tabs>
          <w:tab w:val="left" w:pos="7560"/>
        </w:tabs>
        <w:adjustRightInd w:val="0"/>
        <w:spacing w:before="62" w:beforeLines="20" w:after="62" w:afterLines="20" w:line="360" w:lineRule="auto"/>
        <w:rPr>
          <w:rFonts w:hint="eastAsia" w:ascii="宋体" w:hAnsi="宋体"/>
          <w:b/>
          <w:bCs/>
          <w:color w:val="auto"/>
          <w:sz w:val="28"/>
          <w:szCs w:val="28"/>
          <w:highlight w:val="none"/>
        </w:rPr>
      </w:pPr>
    </w:p>
    <w:p w14:paraId="30EF9BA9">
      <w:pPr>
        <w:tabs>
          <w:tab w:val="left" w:pos="7560"/>
        </w:tabs>
        <w:adjustRightInd w:val="0"/>
        <w:spacing w:before="62" w:beforeLines="20" w:after="62" w:afterLines="20" w:line="360" w:lineRule="auto"/>
        <w:rPr>
          <w:rFonts w:hint="eastAsia" w:ascii="宋体" w:hAnsi="宋体"/>
          <w:b/>
          <w:bCs/>
          <w:color w:val="auto"/>
          <w:sz w:val="28"/>
          <w:szCs w:val="28"/>
          <w:highlight w:val="none"/>
        </w:rPr>
      </w:pPr>
    </w:p>
    <w:p w14:paraId="71084F97">
      <w:pPr>
        <w:tabs>
          <w:tab w:val="left" w:pos="7560"/>
        </w:tabs>
        <w:adjustRightInd w:val="0"/>
        <w:spacing w:before="62" w:beforeLines="20" w:after="62" w:afterLines="20" w:line="360" w:lineRule="auto"/>
        <w:rPr>
          <w:rFonts w:hint="eastAsia" w:ascii="宋体" w:hAnsi="宋体"/>
          <w:b/>
          <w:bCs/>
          <w:color w:val="auto"/>
          <w:sz w:val="28"/>
          <w:szCs w:val="28"/>
          <w:highlight w:val="none"/>
        </w:rPr>
      </w:pPr>
    </w:p>
    <w:p w14:paraId="41438C7B">
      <w:pPr>
        <w:pStyle w:val="2"/>
        <w:ind w:firstLine="480"/>
        <w:rPr>
          <w:rFonts w:hint="eastAsia"/>
          <w:color w:val="auto"/>
          <w:highlight w:val="none"/>
        </w:rPr>
      </w:pPr>
    </w:p>
    <w:p w14:paraId="0A7AED31">
      <w:pPr>
        <w:spacing w:line="400" w:lineRule="exact"/>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诚信承诺书</w:t>
      </w:r>
    </w:p>
    <w:p w14:paraId="757AB75D">
      <w:pPr>
        <w:spacing w:line="520" w:lineRule="exact"/>
        <w:rPr>
          <w:rFonts w:hint="eastAsia" w:ascii="宋体" w:hAnsi="宋体"/>
          <w:color w:val="auto"/>
          <w:sz w:val="24"/>
          <w:highlight w:val="none"/>
        </w:rPr>
      </w:pPr>
      <w:r>
        <w:rPr>
          <w:rFonts w:hint="eastAsia" w:ascii="宋体" w:hAnsi="宋体"/>
          <w:color w:val="auto"/>
          <w:sz w:val="24"/>
          <w:highlight w:val="none"/>
        </w:rPr>
        <w:t>致招标人：</w:t>
      </w:r>
      <w:r>
        <w:rPr>
          <w:rFonts w:hint="eastAsia" w:ascii="宋体" w:hAnsi="宋体"/>
          <w:color w:val="auto"/>
          <w:sz w:val="24"/>
          <w:highlight w:val="none"/>
          <w:u w:val="single"/>
        </w:rPr>
        <w:t xml:space="preserve">                      </w:t>
      </w:r>
    </w:p>
    <w:p w14:paraId="761FB6B2">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我单位在参加</w:t>
      </w:r>
      <w:r>
        <w:rPr>
          <w:rFonts w:hint="eastAsia" w:ascii="宋体" w:hAnsi="宋体"/>
          <w:color w:val="auto"/>
          <w:sz w:val="24"/>
          <w:highlight w:val="none"/>
          <w:u w:val="single"/>
        </w:rPr>
        <w:t xml:space="preserve">                              </w:t>
      </w:r>
      <w:r>
        <w:rPr>
          <w:rFonts w:hint="eastAsia" w:ascii="宋体" w:hAnsi="宋体"/>
          <w:color w:val="auto"/>
          <w:sz w:val="24"/>
          <w:highlight w:val="none"/>
        </w:rPr>
        <w:t>项目的交易活动过程中，郑重承诺如下：</w:t>
      </w:r>
    </w:p>
    <w:p w14:paraId="756EC389">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一、确保提供的一切材料均为真实、合法和有效。</w:t>
      </w:r>
    </w:p>
    <w:p w14:paraId="41DBA3EA">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二、不受让、租借他人资格、资质证书，不以他人名义投标；不以伪造、变造等其他方式弄虚作假，骗取中标。</w:t>
      </w:r>
    </w:p>
    <w:p w14:paraId="5AC86C6C">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三、不与招标人、招标代理机构或其他投标人串通投标。</w:t>
      </w:r>
    </w:p>
    <w:p w14:paraId="28582616">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四、不以向招标人、评标委员会成员或其他相关人员行贿方式牟取中标。</w:t>
      </w:r>
    </w:p>
    <w:p w14:paraId="483D2EC9">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五、在行使异议、质疑、投诉权利时，提供真实、合法、充分的材料，不捏造事实、伪造材料或以其他非法手段取得证明材料。</w:t>
      </w:r>
    </w:p>
    <w:p w14:paraId="1E674AE2">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六、中标后，及时办理中标相关手续，并按照交易文件的约定，与招标人依法签订合同。</w:t>
      </w:r>
    </w:p>
    <w:p w14:paraId="0F3D5EC1">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七、在履约过程中，严格按照交易文件及合同约定履行义务；除法律法规允许外，在价格、质量、工期（供货期）、人员组成等方面不做任何有悖于交易文件实质性内容行为。</w:t>
      </w:r>
    </w:p>
    <w:p w14:paraId="73A8D6AD">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八、至投标截止之日，我公司及本项目拟派经理不在</w:t>
      </w:r>
      <w:r>
        <w:rPr>
          <w:rFonts w:hint="eastAsia" w:ascii="宋体" w:hAnsi="宋体" w:cs="宋体"/>
          <w:color w:val="auto"/>
          <w:kern w:val="0"/>
          <w:sz w:val="24"/>
          <w:highlight w:val="none"/>
        </w:rPr>
        <w:t>招投标行政监管部门和政府行业监管部门</w:t>
      </w:r>
      <w:r>
        <w:rPr>
          <w:rFonts w:hint="eastAsia" w:ascii="宋体" w:hAnsi="宋体"/>
          <w:color w:val="auto"/>
          <w:sz w:val="24"/>
          <w:highlight w:val="none"/>
        </w:rPr>
        <w:t>限制投标处罚期内。</w:t>
      </w:r>
    </w:p>
    <w:p w14:paraId="4D6DA35E">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九、自投标截止之日计算，我公司近3年内无行贿犯罪记录、</w:t>
      </w:r>
      <w:r>
        <w:rPr>
          <w:rFonts w:hint="eastAsia" w:ascii="宋体" w:hAnsi="宋体"/>
          <w:b/>
          <w:bCs/>
          <w:color w:val="auto"/>
          <w:sz w:val="24"/>
          <w:highlight w:val="none"/>
        </w:rPr>
        <w:t>我公司及拟派项目总监理工程师（项目负责人）未被人民法院列入失信被执行人</w:t>
      </w:r>
      <w:r>
        <w:rPr>
          <w:rFonts w:hint="eastAsia" w:ascii="宋体" w:hAnsi="宋体"/>
          <w:color w:val="auto"/>
          <w:sz w:val="24"/>
          <w:highlight w:val="none"/>
        </w:rPr>
        <w:t>。</w:t>
      </w:r>
    </w:p>
    <w:p w14:paraId="348F56BF">
      <w:pPr>
        <w:spacing w:line="520" w:lineRule="exact"/>
        <w:ind w:firstLine="480" w:firstLineChars="200"/>
        <w:rPr>
          <w:rFonts w:hint="eastAsia" w:ascii="宋体" w:hAnsi="宋体"/>
          <w:color w:val="auto"/>
          <w:sz w:val="24"/>
          <w:highlight w:val="none"/>
        </w:rPr>
      </w:pPr>
      <w:r>
        <w:rPr>
          <w:rFonts w:hint="eastAsia" w:ascii="宋体" w:hAnsi="宋体"/>
          <w:color w:val="auto"/>
          <w:sz w:val="24"/>
          <w:highlight w:val="none"/>
        </w:rPr>
        <w:t>以上内容我单位已仔细阅读，若有违反承诺内容的行为，自愿接受限制投标资格、记入不良行为记录、取消中标资格、不予退还投标保证金等处罚或处理；给招标人或其他投标人造成损失的，自愿依法承担赔偿责任。</w:t>
      </w:r>
    </w:p>
    <w:p w14:paraId="270C6754">
      <w:pPr>
        <w:spacing w:line="520" w:lineRule="exact"/>
        <w:ind w:firstLine="480" w:firstLineChars="200"/>
        <w:rPr>
          <w:rFonts w:ascii="宋体" w:hAnsi="宋体"/>
          <w:color w:val="auto"/>
          <w:sz w:val="24"/>
          <w:highlight w:val="none"/>
        </w:rPr>
      </w:pPr>
    </w:p>
    <w:p w14:paraId="2804EA86">
      <w:pPr>
        <w:wordWrap w:val="0"/>
        <w:spacing w:line="760" w:lineRule="exact"/>
        <w:ind w:right="480" w:firstLine="480" w:firstLineChars="200"/>
        <w:jc w:val="right"/>
        <w:rPr>
          <w:rFonts w:hint="eastAsia" w:ascii="宋体" w:hAnsi="宋体"/>
          <w:color w:val="auto"/>
          <w:sz w:val="24"/>
          <w:highlight w:val="none"/>
        </w:rPr>
      </w:pPr>
      <w:r>
        <w:rPr>
          <w:rFonts w:hint="eastAsia" w:ascii="宋体" w:hAnsi="宋体"/>
          <w:color w:val="auto"/>
          <w:sz w:val="24"/>
          <w:highlight w:val="none"/>
        </w:rPr>
        <w:t xml:space="preserve">           投标单位：</w:t>
      </w:r>
      <w:r>
        <w:rPr>
          <w:rFonts w:hint="eastAsia" w:ascii="宋体" w:hAnsi="宋体"/>
          <w:color w:val="auto"/>
          <w:sz w:val="24"/>
          <w:highlight w:val="none"/>
          <w:u w:val="single"/>
        </w:rPr>
        <w:t xml:space="preserve">   （盖章）</w:t>
      </w:r>
    </w:p>
    <w:p w14:paraId="720A9EEC">
      <w:pPr>
        <w:wordWrap w:val="0"/>
        <w:spacing w:line="760" w:lineRule="exact"/>
        <w:ind w:firstLine="480" w:firstLineChars="200"/>
        <w:jc w:val="right"/>
        <w:rPr>
          <w:rFonts w:hint="eastAsia" w:ascii="宋体" w:hAnsi="宋体"/>
          <w:color w:val="auto"/>
          <w:sz w:val="24"/>
          <w:highlight w:val="none"/>
        </w:rPr>
      </w:pPr>
      <w:r>
        <w:rPr>
          <w:rFonts w:hint="eastAsia" w:ascii="宋体" w:hAnsi="宋体"/>
          <w:color w:val="auto"/>
          <w:sz w:val="24"/>
          <w:highlight w:val="none"/>
        </w:rPr>
        <w:t xml:space="preserve">法定代表人： </w:t>
      </w:r>
      <w:r>
        <w:rPr>
          <w:rFonts w:hint="eastAsia" w:ascii="宋体" w:hAnsi="宋体"/>
          <w:color w:val="auto"/>
          <w:sz w:val="24"/>
          <w:highlight w:val="none"/>
          <w:u w:val="single"/>
        </w:rPr>
        <w:t xml:space="preserve">     （签字或盖章）</w:t>
      </w:r>
    </w:p>
    <w:p w14:paraId="0856E245">
      <w:pPr>
        <w:ind w:firstLine="2248" w:firstLineChars="937"/>
        <w:jc w:val="right"/>
        <w:rPr>
          <w:rFonts w:hint="eastAsia" w:ascii="宋体" w:hAnsi="宋体"/>
          <w:color w:val="auto"/>
          <w:sz w:val="24"/>
          <w:highlight w:val="none"/>
        </w:rPr>
      </w:pPr>
      <w:r>
        <w:rPr>
          <w:rFonts w:hint="eastAsia" w:ascii="宋体" w:hAnsi="宋体"/>
          <w:color w:val="auto"/>
          <w:sz w:val="24"/>
          <w:highlight w:val="none"/>
        </w:rPr>
        <w:t>年     月     日</w:t>
      </w:r>
    </w:p>
    <w:p w14:paraId="67AA1D45">
      <w:pPr>
        <w:jc w:val="center"/>
        <w:rPr>
          <w:rFonts w:hint="eastAsia" w:ascii="宋体" w:hAnsi="宋体" w:cs="宋体"/>
          <w:b/>
          <w:bCs/>
          <w:color w:val="auto"/>
          <w:sz w:val="36"/>
          <w:highlight w:val="none"/>
        </w:rPr>
      </w:pPr>
      <w:r>
        <w:rPr>
          <w:rFonts w:hint="eastAsia" w:ascii="宋体" w:hAnsi="宋体" w:cs="宋体"/>
          <w:bCs/>
          <w:color w:val="auto"/>
          <w:sz w:val="28"/>
          <w:szCs w:val="28"/>
          <w:highlight w:val="none"/>
        </w:rPr>
        <w:br w:type="page"/>
      </w:r>
      <w:r>
        <w:rPr>
          <w:rFonts w:hint="eastAsia" w:ascii="宋体" w:hAnsi="宋体" w:eastAsia="宋体" w:cs="Times New Roman"/>
          <w:b/>
          <w:color w:val="auto"/>
          <w:kern w:val="2"/>
          <w:sz w:val="28"/>
          <w:szCs w:val="28"/>
          <w:highlight w:val="none"/>
          <w:lang w:val="en-US" w:eastAsia="zh-CN" w:bidi="ar-SA"/>
        </w:rPr>
        <w:t>企业已完成类似工程监理合同一览表</w:t>
      </w:r>
    </w:p>
    <w:p w14:paraId="4096846C">
      <w:pPr>
        <w:spacing w:line="400" w:lineRule="exact"/>
        <w:rPr>
          <w:rFonts w:hint="eastAsia" w:ascii="宋体" w:hAnsi="宋体" w:cs="宋体"/>
          <w:b/>
          <w:color w:val="auto"/>
          <w:sz w:val="2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80"/>
        <w:gridCol w:w="2700"/>
        <w:gridCol w:w="1849"/>
        <w:gridCol w:w="2011"/>
      </w:tblGrid>
      <w:tr w14:paraId="742B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526131C7">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工程名称</w:t>
            </w:r>
          </w:p>
        </w:tc>
        <w:tc>
          <w:tcPr>
            <w:tcW w:w="6560" w:type="dxa"/>
            <w:gridSpan w:val="3"/>
            <w:noWrap w:val="0"/>
            <w:vAlign w:val="top"/>
          </w:tcPr>
          <w:p w14:paraId="6FA016DC">
            <w:pPr>
              <w:spacing w:line="400" w:lineRule="exact"/>
              <w:jc w:val="center"/>
              <w:rPr>
                <w:rFonts w:hint="eastAsia" w:ascii="宋体" w:hAnsi="宋体" w:cs="宋体"/>
                <w:color w:val="auto"/>
                <w:sz w:val="24"/>
                <w:szCs w:val="24"/>
                <w:highlight w:val="none"/>
              </w:rPr>
            </w:pPr>
          </w:p>
        </w:tc>
      </w:tr>
      <w:tr w14:paraId="25ED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083F6783">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项目地点</w:t>
            </w:r>
          </w:p>
        </w:tc>
        <w:tc>
          <w:tcPr>
            <w:tcW w:w="6560" w:type="dxa"/>
            <w:gridSpan w:val="3"/>
            <w:noWrap w:val="0"/>
            <w:vAlign w:val="top"/>
          </w:tcPr>
          <w:p w14:paraId="4AECA03A">
            <w:pPr>
              <w:spacing w:line="400" w:lineRule="exact"/>
              <w:jc w:val="center"/>
              <w:rPr>
                <w:rFonts w:hint="eastAsia" w:ascii="宋体" w:hAnsi="宋体" w:cs="宋体"/>
                <w:color w:val="auto"/>
                <w:sz w:val="24"/>
                <w:szCs w:val="24"/>
                <w:highlight w:val="none"/>
              </w:rPr>
            </w:pPr>
          </w:p>
        </w:tc>
      </w:tr>
      <w:tr w14:paraId="1BDF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4DD4B26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工程规模</w:t>
            </w:r>
          </w:p>
        </w:tc>
        <w:tc>
          <w:tcPr>
            <w:tcW w:w="6560" w:type="dxa"/>
            <w:gridSpan w:val="3"/>
            <w:noWrap w:val="0"/>
            <w:vAlign w:val="top"/>
          </w:tcPr>
          <w:p w14:paraId="0B7674F9">
            <w:pPr>
              <w:spacing w:line="400" w:lineRule="exact"/>
              <w:jc w:val="center"/>
              <w:rPr>
                <w:rFonts w:hint="eastAsia" w:ascii="宋体" w:hAnsi="宋体" w:cs="宋体"/>
                <w:color w:val="auto"/>
                <w:sz w:val="24"/>
                <w:szCs w:val="24"/>
                <w:highlight w:val="none"/>
              </w:rPr>
            </w:pPr>
          </w:p>
        </w:tc>
      </w:tr>
      <w:tr w14:paraId="53BE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CCF580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工程等级</w:t>
            </w:r>
          </w:p>
        </w:tc>
        <w:tc>
          <w:tcPr>
            <w:tcW w:w="2700" w:type="dxa"/>
            <w:noWrap w:val="0"/>
            <w:vAlign w:val="top"/>
          </w:tcPr>
          <w:p w14:paraId="0F9F57FF">
            <w:pPr>
              <w:spacing w:line="400" w:lineRule="exact"/>
              <w:jc w:val="center"/>
              <w:rPr>
                <w:rFonts w:hint="eastAsia" w:ascii="宋体" w:hAnsi="宋体" w:cs="宋体"/>
                <w:color w:val="auto"/>
                <w:sz w:val="24"/>
                <w:szCs w:val="24"/>
                <w:highlight w:val="none"/>
              </w:rPr>
            </w:pPr>
          </w:p>
        </w:tc>
        <w:tc>
          <w:tcPr>
            <w:tcW w:w="1849" w:type="dxa"/>
            <w:noWrap w:val="0"/>
            <w:vAlign w:val="top"/>
          </w:tcPr>
          <w:p w14:paraId="56CFE952">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工程造价</w:t>
            </w:r>
          </w:p>
        </w:tc>
        <w:tc>
          <w:tcPr>
            <w:tcW w:w="2011" w:type="dxa"/>
            <w:noWrap w:val="0"/>
            <w:vAlign w:val="top"/>
          </w:tcPr>
          <w:p w14:paraId="2EFC62BB">
            <w:pPr>
              <w:spacing w:line="400" w:lineRule="exact"/>
              <w:jc w:val="center"/>
              <w:rPr>
                <w:rFonts w:hint="eastAsia" w:ascii="宋体" w:hAnsi="宋体" w:cs="宋体"/>
                <w:color w:val="auto"/>
                <w:sz w:val="24"/>
                <w:szCs w:val="24"/>
                <w:highlight w:val="none"/>
              </w:rPr>
            </w:pPr>
          </w:p>
        </w:tc>
      </w:tr>
      <w:tr w14:paraId="0D7B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05502A7">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开竣工日期</w:t>
            </w:r>
          </w:p>
        </w:tc>
        <w:tc>
          <w:tcPr>
            <w:tcW w:w="2700" w:type="dxa"/>
            <w:noWrap w:val="0"/>
            <w:vAlign w:val="top"/>
          </w:tcPr>
          <w:p w14:paraId="05806544">
            <w:pPr>
              <w:spacing w:line="400" w:lineRule="exact"/>
              <w:jc w:val="center"/>
              <w:rPr>
                <w:rFonts w:hint="eastAsia" w:ascii="宋体" w:hAnsi="宋体" w:cs="宋体"/>
                <w:color w:val="auto"/>
                <w:sz w:val="24"/>
                <w:szCs w:val="24"/>
                <w:highlight w:val="none"/>
              </w:rPr>
            </w:pPr>
          </w:p>
        </w:tc>
        <w:tc>
          <w:tcPr>
            <w:tcW w:w="1849" w:type="dxa"/>
            <w:noWrap w:val="0"/>
            <w:vAlign w:val="top"/>
          </w:tcPr>
          <w:p w14:paraId="67238D9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监理服务费</w:t>
            </w:r>
          </w:p>
        </w:tc>
        <w:tc>
          <w:tcPr>
            <w:tcW w:w="2011" w:type="dxa"/>
            <w:noWrap w:val="0"/>
            <w:vAlign w:val="top"/>
          </w:tcPr>
          <w:p w14:paraId="7E8EA017">
            <w:pPr>
              <w:spacing w:line="400" w:lineRule="exact"/>
              <w:jc w:val="center"/>
              <w:rPr>
                <w:rFonts w:hint="eastAsia" w:ascii="宋体" w:hAnsi="宋体" w:cs="宋体"/>
                <w:color w:val="auto"/>
                <w:sz w:val="24"/>
                <w:szCs w:val="24"/>
                <w:highlight w:val="none"/>
              </w:rPr>
            </w:pPr>
          </w:p>
        </w:tc>
      </w:tr>
      <w:tr w14:paraId="03E6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726B0431">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项目总监理工程师</w:t>
            </w:r>
          </w:p>
        </w:tc>
        <w:tc>
          <w:tcPr>
            <w:tcW w:w="2700" w:type="dxa"/>
            <w:noWrap w:val="0"/>
            <w:vAlign w:val="top"/>
          </w:tcPr>
          <w:p w14:paraId="5787CDF6">
            <w:pPr>
              <w:spacing w:line="400" w:lineRule="exact"/>
              <w:jc w:val="center"/>
              <w:rPr>
                <w:rFonts w:hint="eastAsia" w:ascii="宋体" w:hAnsi="宋体" w:cs="宋体"/>
                <w:color w:val="auto"/>
                <w:sz w:val="24"/>
                <w:szCs w:val="24"/>
                <w:highlight w:val="none"/>
              </w:rPr>
            </w:pPr>
          </w:p>
        </w:tc>
        <w:tc>
          <w:tcPr>
            <w:tcW w:w="1849" w:type="dxa"/>
            <w:noWrap w:val="0"/>
            <w:vAlign w:val="top"/>
          </w:tcPr>
          <w:p w14:paraId="2DCBE6B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监理人员总数</w:t>
            </w:r>
          </w:p>
        </w:tc>
        <w:tc>
          <w:tcPr>
            <w:tcW w:w="2011" w:type="dxa"/>
            <w:noWrap w:val="0"/>
            <w:vAlign w:val="top"/>
          </w:tcPr>
          <w:p w14:paraId="4D226690">
            <w:pPr>
              <w:spacing w:line="400" w:lineRule="exact"/>
              <w:jc w:val="center"/>
              <w:rPr>
                <w:rFonts w:hint="eastAsia" w:ascii="宋体" w:hAnsi="宋体" w:cs="宋体"/>
                <w:color w:val="auto"/>
                <w:sz w:val="24"/>
                <w:szCs w:val="24"/>
                <w:highlight w:val="none"/>
              </w:rPr>
            </w:pPr>
          </w:p>
        </w:tc>
      </w:tr>
      <w:tr w14:paraId="087A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494A88D6">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结构形式</w:t>
            </w:r>
          </w:p>
        </w:tc>
        <w:tc>
          <w:tcPr>
            <w:tcW w:w="6560" w:type="dxa"/>
            <w:gridSpan w:val="3"/>
            <w:noWrap w:val="0"/>
            <w:vAlign w:val="top"/>
          </w:tcPr>
          <w:p w14:paraId="3626725E">
            <w:pPr>
              <w:spacing w:line="400" w:lineRule="exact"/>
              <w:jc w:val="center"/>
              <w:rPr>
                <w:rFonts w:hint="eastAsia" w:ascii="宋体" w:hAnsi="宋体" w:cs="宋体"/>
                <w:color w:val="auto"/>
                <w:sz w:val="24"/>
                <w:szCs w:val="24"/>
                <w:highlight w:val="none"/>
              </w:rPr>
            </w:pPr>
          </w:p>
        </w:tc>
      </w:tr>
      <w:tr w14:paraId="2538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1A4D9761">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受奖罚情况</w:t>
            </w:r>
          </w:p>
        </w:tc>
        <w:tc>
          <w:tcPr>
            <w:tcW w:w="6560" w:type="dxa"/>
            <w:gridSpan w:val="3"/>
            <w:noWrap w:val="0"/>
            <w:vAlign w:val="top"/>
          </w:tcPr>
          <w:p w14:paraId="18585D3D">
            <w:pPr>
              <w:spacing w:line="400" w:lineRule="exact"/>
              <w:jc w:val="center"/>
              <w:rPr>
                <w:rFonts w:hint="eastAsia" w:ascii="宋体" w:hAnsi="宋体" w:cs="宋体"/>
                <w:color w:val="auto"/>
                <w:sz w:val="24"/>
                <w:szCs w:val="24"/>
                <w:highlight w:val="none"/>
              </w:rPr>
            </w:pPr>
          </w:p>
        </w:tc>
      </w:tr>
      <w:tr w14:paraId="024C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4" w:type="dxa"/>
            <w:gridSpan w:val="5"/>
            <w:noWrap w:val="0"/>
            <w:vAlign w:val="top"/>
          </w:tcPr>
          <w:p w14:paraId="4031B86C">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监理主要内容：</w:t>
            </w:r>
          </w:p>
          <w:p w14:paraId="36435E38">
            <w:pPr>
              <w:spacing w:line="400" w:lineRule="exact"/>
              <w:rPr>
                <w:rFonts w:hint="eastAsia" w:ascii="宋体" w:hAnsi="宋体" w:cs="宋体"/>
                <w:color w:val="auto"/>
                <w:sz w:val="24"/>
                <w:szCs w:val="24"/>
                <w:highlight w:val="none"/>
              </w:rPr>
            </w:pPr>
          </w:p>
          <w:p w14:paraId="21112691">
            <w:pPr>
              <w:spacing w:line="400" w:lineRule="exact"/>
              <w:rPr>
                <w:rFonts w:hint="eastAsia" w:ascii="宋体" w:hAnsi="宋体" w:cs="宋体"/>
                <w:color w:val="auto"/>
                <w:sz w:val="24"/>
                <w:szCs w:val="24"/>
                <w:highlight w:val="none"/>
              </w:rPr>
            </w:pPr>
          </w:p>
          <w:p w14:paraId="0938AA8F">
            <w:pPr>
              <w:spacing w:line="400" w:lineRule="exact"/>
              <w:rPr>
                <w:rFonts w:hint="eastAsia" w:ascii="宋体" w:hAnsi="宋体" w:cs="宋体"/>
                <w:color w:val="auto"/>
                <w:sz w:val="24"/>
                <w:szCs w:val="24"/>
                <w:highlight w:val="none"/>
              </w:rPr>
            </w:pPr>
          </w:p>
          <w:p w14:paraId="138B2DC3">
            <w:pPr>
              <w:spacing w:line="400" w:lineRule="exact"/>
              <w:rPr>
                <w:rFonts w:hint="eastAsia" w:ascii="宋体" w:hAnsi="宋体" w:cs="宋体"/>
                <w:color w:val="auto"/>
                <w:sz w:val="24"/>
                <w:szCs w:val="24"/>
                <w:highlight w:val="none"/>
              </w:rPr>
            </w:pPr>
          </w:p>
          <w:p w14:paraId="343CEF36">
            <w:pPr>
              <w:spacing w:line="400" w:lineRule="exact"/>
              <w:rPr>
                <w:rFonts w:hint="eastAsia" w:ascii="宋体" w:hAnsi="宋体" w:cs="宋体"/>
                <w:color w:val="auto"/>
                <w:sz w:val="24"/>
                <w:szCs w:val="24"/>
                <w:highlight w:val="none"/>
              </w:rPr>
            </w:pPr>
          </w:p>
        </w:tc>
      </w:tr>
      <w:tr w14:paraId="23F1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1A790C6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设计单位</w:t>
            </w:r>
          </w:p>
        </w:tc>
        <w:tc>
          <w:tcPr>
            <w:tcW w:w="6560" w:type="dxa"/>
            <w:gridSpan w:val="3"/>
            <w:noWrap w:val="0"/>
            <w:vAlign w:val="top"/>
          </w:tcPr>
          <w:p w14:paraId="60C2C670">
            <w:pPr>
              <w:spacing w:line="400" w:lineRule="exact"/>
              <w:jc w:val="center"/>
              <w:rPr>
                <w:rFonts w:hint="eastAsia" w:ascii="宋体" w:hAnsi="宋体" w:cs="宋体"/>
                <w:color w:val="auto"/>
                <w:sz w:val="24"/>
                <w:szCs w:val="24"/>
                <w:highlight w:val="none"/>
              </w:rPr>
            </w:pPr>
          </w:p>
        </w:tc>
      </w:tr>
      <w:tr w14:paraId="5165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042051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施工单位</w:t>
            </w:r>
          </w:p>
        </w:tc>
        <w:tc>
          <w:tcPr>
            <w:tcW w:w="6560" w:type="dxa"/>
            <w:gridSpan w:val="3"/>
            <w:noWrap w:val="0"/>
            <w:vAlign w:val="top"/>
          </w:tcPr>
          <w:p w14:paraId="4DB97C34">
            <w:pPr>
              <w:spacing w:line="400" w:lineRule="exact"/>
              <w:jc w:val="center"/>
              <w:rPr>
                <w:rFonts w:hint="eastAsia" w:ascii="宋体" w:hAnsi="宋体" w:cs="宋体"/>
                <w:color w:val="auto"/>
                <w:sz w:val="24"/>
                <w:szCs w:val="24"/>
                <w:highlight w:val="none"/>
              </w:rPr>
            </w:pPr>
          </w:p>
        </w:tc>
      </w:tr>
      <w:tr w14:paraId="7686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restart"/>
            <w:noWrap w:val="0"/>
            <w:vAlign w:val="top"/>
          </w:tcPr>
          <w:p w14:paraId="31AF1DD8">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业</w:t>
            </w:r>
          </w:p>
          <w:p w14:paraId="6D1D6AF4">
            <w:pPr>
              <w:spacing w:line="400" w:lineRule="exact"/>
              <w:jc w:val="center"/>
              <w:rPr>
                <w:rFonts w:hint="eastAsia" w:ascii="宋体" w:hAnsi="宋体" w:cs="宋体"/>
                <w:color w:val="auto"/>
                <w:sz w:val="24"/>
                <w:szCs w:val="24"/>
                <w:highlight w:val="none"/>
              </w:rPr>
            </w:pPr>
          </w:p>
          <w:p w14:paraId="346839D8">
            <w:pPr>
              <w:spacing w:line="400" w:lineRule="exact"/>
              <w:jc w:val="center"/>
              <w:rPr>
                <w:rFonts w:hint="eastAsia" w:ascii="宋体" w:hAnsi="宋体" w:cs="宋体"/>
                <w:color w:val="auto"/>
                <w:sz w:val="24"/>
                <w:szCs w:val="24"/>
                <w:highlight w:val="none"/>
              </w:rPr>
            </w:pPr>
          </w:p>
          <w:p w14:paraId="52B4AC4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主</w:t>
            </w:r>
          </w:p>
        </w:tc>
        <w:tc>
          <w:tcPr>
            <w:tcW w:w="1980" w:type="dxa"/>
            <w:noWrap w:val="0"/>
            <w:vAlign w:val="top"/>
          </w:tcPr>
          <w:p w14:paraId="7B88D1E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p>
        </w:tc>
        <w:tc>
          <w:tcPr>
            <w:tcW w:w="6560" w:type="dxa"/>
            <w:gridSpan w:val="3"/>
            <w:noWrap w:val="0"/>
            <w:vAlign w:val="top"/>
          </w:tcPr>
          <w:p w14:paraId="2C201524">
            <w:pPr>
              <w:spacing w:line="400" w:lineRule="exact"/>
              <w:jc w:val="center"/>
              <w:rPr>
                <w:rFonts w:hint="eastAsia" w:ascii="宋体" w:hAnsi="宋体" w:cs="宋体"/>
                <w:color w:val="auto"/>
                <w:sz w:val="24"/>
                <w:szCs w:val="24"/>
                <w:highlight w:val="none"/>
              </w:rPr>
            </w:pPr>
          </w:p>
        </w:tc>
      </w:tr>
      <w:tr w14:paraId="7411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76B209D2">
            <w:pPr>
              <w:spacing w:line="400" w:lineRule="exact"/>
              <w:jc w:val="center"/>
              <w:rPr>
                <w:rFonts w:hint="eastAsia" w:ascii="宋体" w:hAnsi="宋体" w:cs="宋体"/>
                <w:color w:val="auto"/>
                <w:sz w:val="24"/>
                <w:szCs w:val="24"/>
                <w:highlight w:val="none"/>
              </w:rPr>
            </w:pPr>
          </w:p>
        </w:tc>
        <w:tc>
          <w:tcPr>
            <w:tcW w:w="1980" w:type="dxa"/>
            <w:noWrap w:val="0"/>
            <w:vAlign w:val="top"/>
          </w:tcPr>
          <w:p w14:paraId="4F14F3B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单位地址</w:t>
            </w:r>
          </w:p>
        </w:tc>
        <w:tc>
          <w:tcPr>
            <w:tcW w:w="6560" w:type="dxa"/>
            <w:gridSpan w:val="3"/>
            <w:noWrap w:val="0"/>
            <w:vAlign w:val="top"/>
          </w:tcPr>
          <w:p w14:paraId="7D18A68B">
            <w:pPr>
              <w:spacing w:line="400" w:lineRule="exact"/>
              <w:jc w:val="center"/>
              <w:rPr>
                <w:rFonts w:hint="eastAsia" w:ascii="宋体" w:hAnsi="宋体" w:cs="宋体"/>
                <w:color w:val="auto"/>
                <w:sz w:val="24"/>
                <w:szCs w:val="24"/>
                <w:highlight w:val="none"/>
              </w:rPr>
            </w:pPr>
          </w:p>
        </w:tc>
      </w:tr>
      <w:tr w14:paraId="204F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599568FC">
            <w:pPr>
              <w:spacing w:line="400" w:lineRule="exact"/>
              <w:jc w:val="center"/>
              <w:rPr>
                <w:rFonts w:hint="eastAsia" w:ascii="宋体" w:hAnsi="宋体" w:cs="宋体"/>
                <w:color w:val="auto"/>
                <w:sz w:val="24"/>
                <w:szCs w:val="24"/>
                <w:highlight w:val="none"/>
              </w:rPr>
            </w:pPr>
          </w:p>
        </w:tc>
        <w:tc>
          <w:tcPr>
            <w:tcW w:w="1980" w:type="dxa"/>
            <w:noWrap w:val="0"/>
            <w:vAlign w:val="top"/>
          </w:tcPr>
          <w:p w14:paraId="6612196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 系 人</w:t>
            </w:r>
          </w:p>
        </w:tc>
        <w:tc>
          <w:tcPr>
            <w:tcW w:w="6560" w:type="dxa"/>
            <w:gridSpan w:val="3"/>
            <w:noWrap w:val="0"/>
            <w:vAlign w:val="top"/>
          </w:tcPr>
          <w:p w14:paraId="66186328">
            <w:pPr>
              <w:spacing w:line="400" w:lineRule="exact"/>
              <w:jc w:val="center"/>
              <w:rPr>
                <w:rFonts w:hint="eastAsia" w:ascii="宋体" w:hAnsi="宋体" w:cs="宋体"/>
                <w:color w:val="auto"/>
                <w:sz w:val="24"/>
                <w:szCs w:val="24"/>
                <w:highlight w:val="none"/>
              </w:rPr>
            </w:pPr>
          </w:p>
        </w:tc>
      </w:tr>
      <w:tr w14:paraId="70B0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726C561A">
            <w:pPr>
              <w:spacing w:line="400" w:lineRule="exact"/>
              <w:jc w:val="center"/>
              <w:rPr>
                <w:rFonts w:hint="eastAsia" w:ascii="宋体" w:hAnsi="宋体" w:cs="宋体"/>
                <w:color w:val="auto"/>
                <w:sz w:val="24"/>
                <w:szCs w:val="24"/>
                <w:highlight w:val="none"/>
              </w:rPr>
            </w:pPr>
          </w:p>
        </w:tc>
        <w:tc>
          <w:tcPr>
            <w:tcW w:w="1980" w:type="dxa"/>
            <w:noWrap w:val="0"/>
            <w:vAlign w:val="top"/>
          </w:tcPr>
          <w:p w14:paraId="5BFBFEF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p>
        </w:tc>
        <w:tc>
          <w:tcPr>
            <w:tcW w:w="6560" w:type="dxa"/>
            <w:gridSpan w:val="3"/>
            <w:noWrap w:val="0"/>
            <w:vAlign w:val="top"/>
          </w:tcPr>
          <w:p w14:paraId="151549DF">
            <w:pPr>
              <w:spacing w:line="400" w:lineRule="exact"/>
              <w:jc w:val="center"/>
              <w:rPr>
                <w:rFonts w:hint="eastAsia" w:ascii="宋体" w:hAnsi="宋体" w:cs="宋体"/>
                <w:color w:val="auto"/>
                <w:sz w:val="24"/>
                <w:szCs w:val="24"/>
                <w:highlight w:val="none"/>
              </w:rPr>
            </w:pPr>
          </w:p>
        </w:tc>
      </w:tr>
      <w:tr w14:paraId="6E51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jc w:val="center"/>
        </w:trPr>
        <w:tc>
          <w:tcPr>
            <w:tcW w:w="594" w:type="dxa"/>
            <w:vMerge w:val="continue"/>
            <w:noWrap w:val="0"/>
            <w:vAlign w:val="top"/>
          </w:tcPr>
          <w:p w14:paraId="328E84E9">
            <w:pPr>
              <w:spacing w:line="400" w:lineRule="exact"/>
              <w:jc w:val="center"/>
              <w:rPr>
                <w:rFonts w:hint="eastAsia" w:ascii="宋体" w:hAnsi="宋体" w:cs="宋体"/>
                <w:color w:val="auto"/>
                <w:sz w:val="24"/>
                <w:szCs w:val="24"/>
                <w:highlight w:val="none"/>
              </w:rPr>
            </w:pPr>
          </w:p>
        </w:tc>
        <w:tc>
          <w:tcPr>
            <w:tcW w:w="1980" w:type="dxa"/>
            <w:noWrap w:val="0"/>
            <w:vAlign w:val="top"/>
          </w:tcPr>
          <w:p w14:paraId="59E5E51D">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传真号码</w:t>
            </w:r>
          </w:p>
        </w:tc>
        <w:tc>
          <w:tcPr>
            <w:tcW w:w="6560" w:type="dxa"/>
            <w:gridSpan w:val="3"/>
            <w:noWrap w:val="0"/>
            <w:vAlign w:val="top"/>
          </w:tcPr>
          <w:p w14:paraId="110CCC7F">
            <w:pPr>
              <w:spacing w:line="400" w:lineRule="exact"/>
              <w:jc w:val="center"/>
              <w:rPr>
                <w:rFonts w:hint="eastAsia" w:ascii="宋体" w:hAnsi="宋体" w:cs="宋体"/>
                <w:color w:val="auto"/>
                <w:sz w:val="24"/>
                <w:szCs w:val="24"/>
                <w:highlight w:val="none"/>
              </w:rPr>
            </w:pPr>
          </w:p>
        </w:tc>
      </w:tr>
    </w:tbl>
    <w:p w14:paraId="16868AFA">
      <w:pPr>
        <w:spacing w:line="400" w:lineRule="exact"/>
        <w:jc w:val="center"/>
        <w:rPr>
          <w:rFonts w:hint="eastAsia" w:ascii="宋体" w:hAnsi="宋体" w:cs="宋体"/>
          <w:b/>
          <w:color w:val="auto"/>
          <w:sz w:val="28"/>
          <w:highlight w:val="none"/>
        </w:rPr>
      </w:pPr>
    </w:p>
    <w:p w14:paraId="2961D2D2">
      <w:pPr>
        <w:spacing w:line="400" w:lineRule="exact"/>
        <w:jc w:val="center"/>
        <w:rPr>
          <w:rFonts w:hint="eastAsia" w:ascii="宋体" w:hAnsi="宋体" w:cs="宋体"/>
          <w:b/>
          <w:bCs/>
          <w:color w:val="auto"/>
          <w:sz w:val="36"/>
          <w:highlight w:val="none"/>
        </w:rPr>
      </w:pPr>
      <w:r>
        <w:rPr>
          <w:rFonts w:hint="eastAsia" w:ascii="宋体" w:hAnsi="宋体" w:cs="宋体"/>
          <w:b/>
          <w:color w:val="auto"/>
          <w:sz w:val="28"/>
          <w:highlight w:val="none"/>
        </w:rPr>
        <w:br w:type="page"/>
      </w:r>
      <w:r>
        <w:rPr>
          <w:rFonts w:hint="eastAsia" w:ascii="宋体" w:hAnsi="宋体" w:eastAsia="宋体" w:cs="Times New Roman"/>
          <w:b/>
          <w:color w:val="auto"/>
          <w:kern w:val="2"/>
          <w:sz w:val="28"/>
          <w:szCs w:val="28"/>
          <w:highlight w:val="none"/>
          <w:lang w:val="en-US" w:eastAsia="zh-CN" w:bidi="ar-SA"/>
        </w:rPr>
        <w:t xml:space="preserve"> 企业目前正在监理的类似工程合同一览表</w:t>
      </w:r>
    </w:p>
    <w:p w14:paraId="44791E41">
      <w:pPr>
        <w:spacing w:line="400" w:lineRule="exact"/>
        <w:rPr>
          <w:rFonts w:hint="eastAsia" w:ascii="宋体" w:hAnsi="宋体" w:cs="宋体"/>
          <w:b/>
          <w:color w:val="auto"/>
          <w:sz w:val="2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80"/>
        <w:gridCol w:w="2700"/>
        <w:gridCol w:w="1849"/>
        <w:gridCol w:w="2011"/>
      </w:tblGrid>
      <w:tr w14:paraId="4ADC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C000286">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工程名称</w:t>
            </w:r>
          </w:p>
        </w:tc>
        <w:tc>
          <w:tcPr>
            <w:tcW w:w="6560" w:type="dxa"/>
            <w:gridSpan w:val="3"/>
            <w:noWrap w:val="0"/>
            <w:vAlign w:val="top"/>
          </w:tcPr>
          <w:p w14:paraId="3922480E">
            <w:pPr>
              <w:spacing w:line="400" w:lineRule="exact"/>
              <w:jc w:val="center"/>
              <w:rPr>
                <w:rFonts w:hint="eastAsia" w:ascii="宋体" w:hAnsi="宋体" w:cs="宋体"/>
                <w:color w:val="auto"/>
                <w:sz w:val="24"/>
                <w:szCs w:val="24"/>
                <w:highlight w:val="none"/>
              </w:rPr>
            </w:pPr>
          </w:p>
        </w:tc>
      </w:tr>
      <w:tr w14:paraId="3814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580A7D1">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项目地点</w:t>
            </w:r>
          </w:p>
        </w:tc>
        <w:tc>
          <w:tcPr>
            <w:tcW w:w="6560" w:type="dxa"/>
            <w:gridSpan w:val="3"/>
            <w:noWrap w:val="0"/>
            <w:vAlign w:val="top"/>
          </w:tcPr>
          <w:p w14:paraId="1DF27620">
            <w:pPr>
              <w:spacing w:line="400" w:lineRule="exact"/>
              <w:jc w:val="center"/>
              <w:rPr>
                <w:rFonts w:hint="eastAsia" w:ascii="宋体" w:hAnsi="宋体" w:cs="宋体"/>
                <w:color w:val="auto"/>
                <w:sz w:val="24"/>
                <w:szCs w:val="24"/>
                <w:highlight w:val="none"/>
              </w:rPr>
            </w:pPr>
          </w:p>
        </w:tc>
      </w:tr>
      <w:tr w14:paraId="4E1A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0B9993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工程规模</w:t>
            </w:r>
          </w:p>
        </w:tc>
        <w:tc>
          <w:tcPr>
            <w:tcW w:w="6560" w:type="dxa"/>
            <w:gridSpan w:val="3"/>
            <w:noWrap w:val="0"/>
            <w:vAlign w:val="top"/>
          </w:tcPr>
          <w:p w14:paraId="22E9AF7F">
            <w:pPr>
              <w:spacing w:line="400" w:lineRule="exact"/>
              <w:jc w:val="center"/>
              <w:rPr>
                <w:rFonts w:hint="eastAsia" w:ascii="宋体" w:hAnsi="宋体" w:cs="宋体"/>
                <w:color w:val="auto"/>
                <w:sz w:val="24"/>
                <w:szCs w:val="24"/>
                <w:highlight w:val="none"/>
              </w:rPr>
            </w:pPr>
          </w:p>
        </w:tc>
      </w:tr>
      <w:tr w14:paraId="5BCB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0174C91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工程等级</w:t>
            </w:r>
          </w:p>
        </w:tc>
        <w:tc>
          <w:tcPr>
            <w:tcW w:w="2700" w:type="dxa"/>
            <w:noWrap w:val="0"/>
            <w:vAlign w:val="top"/>
          </w:tcPr>
          <w:p w14:paraId="7DE812A6">
            <w:pPr>
              <w:spacing w:line="400" w:lineRule="exact"/>
              <w:jc w:val="center"/>
              <w:rPr>
                <w:rFonts w:hint="eastAsia" w:ascii="宋体" w:hAnsi="宋体" w:cs="宋体"/>
                <w:color w:val="auto"/>
                <w:sz w:val="24"/>
                <w:szCs w:val="24"/>
                <w:highlight w:val="none"/>
              </w:rPr>
            </w:pPr>
          </w:p>
        </w:tc>
        <w:tc>
          <w:tcPr>
            <w:tcW w:w="1849" w:type="dxa"/>
            <w:noWrap w:val="0"/>
            <w:vAlign w:val="top"/>
          </w:tcPr>
          <w:p w14:paraId="7491EA55">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工程造价</w:t>
            </w:r>
          </w:p>
        </w:tc>
        <w:tc>
          <w:tcPr>
            <w:tcW w:w="2011" w:type="dxa"/>
            <w:noWrap w:val="0"/>
            <w:vAlign w:val="top"/>
          </w:tcPr>
          <w:p w14:paraId="77C339AA">
            <w:pPr>
              <w:spacing w:line="400" w:lineRule="exact"/>
              <w:jc w:val="center"/>
              <w:rPr>
                <w:rFonts w:hint="eastAsia" w:ascii="宋体" w:hAnsi="宋体" w:cs="宋体"/>
                <w:color w:val="auto"/>
                <w:sz w:val="24"/>
                <w:szCs w:val="24"/>
                <w:highlight w:val="none"/>
              </w:rPr>
            </w:pPr>
          </w:p>
        </w:tc>
      </w:tr>
      <w:tr w14:paraId="2B3A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4F92639D">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开工日期</w:t>
            </w:r>
          </w:p>
        </w:tc>
        <w:tc>
          <w:tcPr>
            <w:tcW w:w="2700" w:type="dxa"/>
            <w:noWrap w:val="0"/>
            <w:vAlign w:val="top"/>
          </w:tcPr>
          <w:p w14:paraId="12D384B6">
            <w:pPr>
              <w:spacing w:line="400" w:lineRule="exact"/>
              <w:jc w:val="center"/>
              <w:rPr>
                <w:rFonts w:hint="eastAsia" w:ascii="宋体" w:hAnsi="宋体" w:cs="宋体"/>
                <w:color w:val="auto"/>
                <w:sz w:val="24"/>
                <w:szCs w:val="24"/>
                <w:highlight w:val="none"/>
              </w:rPr>
            </w:pPr>
          </w:p>
        </w:tc>
        <w:tc>
          <w:tcPr>
            <w:tcW w:w="1849" w:type="dxa"/>
            <w:noWrap w:val="0"/>
            <w:vAlign w:val="top"/>
          </w:tcPr>
          <w:p w14:paraId="25F3297D">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预计完工时间</w:t>
            </w:r>
          </w:p>
        </w:tc>
        <w:tc>
          <w:tcPr>
            <w:tcW w:w="2011" w:type="dxa"/>
            <w:noWrap w:val="0"/>
            <w:vAlign w:val="top"/>
          </w:tcPr>
          <w:p w14:paraId="605DFFC7">
            <w:pPr>
              <w:spacing w:line="400" w:lineRule="exact"/>
              <w:jc w:val="center"/>
              <w:rPr>
                <w:rFonts w:hint="eastAsia" w:ascii="宋体" w:hAnsi="宋体" w:cs="宋体"/>
                <w:color w:val="auto"/>
                <w:sz w:val="24"/>
                <w:szCs w:val="24"/>
                <w:highlight w:val="none"/>
              </w:rPr>
            </w:pPr>
          </w:p>
        </w:tc>
      </w:tr>
      <w:tr w14:paraId="7C27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02B5D40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项目总监理工程师</w:t>
            </w:r>
          </w:p>
        </w:tc>
        <w:tc>
          <w:tcPr>
            <w:tcW w:w="2700" w:type="dxa"/>
            <w:noWrap w:val="0"/>
            <w:vAlign w:val="top"/>
          </w:tcPr>
          <w:p w14:paraId="6C67E9C3">
            <w:pPr>
              <w:spacing w:line="400" w:lineRule="exact"/>
              <w:jc w:val="center"/>
              <w:rPr>
                <w:rFonts w:hint="eastAsia" w:ascii="宋体" w:hAnsi="宋体" w:cs="宋体"/>
                <w:color w:val="auto"/>
                <w:sz w:val="24"/>
                <w:szCs w:val="24"/>
                <w:highlight w:val="none"/>
              </w:rPr>
            </w:pPr>
          </w:p>
        </w:tc>
        <w:tc>
          <w:tcPr>
            <w:tcW w:w="1849" w:type="dxa"/>
            <w:noWrap w:val="0"/>
            <w:vAlign w:val="top"/>
          </w:tcPr>
          <w:p w14:paraId="27B0E126">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监理人员总数</w:t>
            </w:r>
          </w:p>
        </w:tc>
        <w:tc>
          <w:tcPr>
            <w:tcW w:w="2011" w:type="dxa"/>
            <w:noWrap w:val="0"/>
            <w:vAlign w:val="top"/>
          </w:tcPr>
          <w:p w14:paraId="070A0CC5">
            <w:pPr>
              <w:spacing w:line="400" w:lineRule="exact"/>
              <w:jc w:val="center"/>
              <w:rPr>
                <w:rFonts w:hint="eastAsia" w:ascii="宋体" w:hAnsi="宋体" w:cs="宋体"/>
                <w:color w:val="auto"/>
                <w:sz w:val="24"/>
                <w:szCs w:val="24"/>
                <w:highlight w:val="none"/>
              </w:rPr>
            </w:pPr>
          </w:p>
        </w:tc>
      </w:tr>
      <w:tr w14:paraId="3E05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13878ED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结构形式</w:t>
            </w:r>
          </w:p>
        </w:tc>
        <w:tc>
          <w:tcPr>
            <w:tcW w:w="6560" w:type="dxa"/>
            <w:gridSpan w:val="3"/>
            <w:noWrap w:val="0"/>
            <w:vAlign w:val="top"/>
          </w:tcPr>
          <w:p w14:paraId="0564A003">
            <w:pPr>
              <w:spacing w:line="400" w:lineRule="exact"/>
              <w:jc w:val="center"/>
              <w:rPr>
                <w:rFonts w:hint="eastAsia" w:ascii="宋体" w:hAnsi="宋体" w:cs="宋体"/>
                <w:color w:val="auto"/>
                <w:sz w:val="24"/>
                <w:szCs w:val="24"/>
                <w:highlight w:val="none"/>
              </w:rPr>
            </w:pPr>
          </w:p>
        </w:tc>
      </w:tr>
      <w:tr w14:paraId="7F7D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4" w:type="dxa"/>
            <w:gridSpan w:val="5"/>
            <w:noWrap w:val="0"/>
            <w:vAlign w:val="top"/>
          </w:tcPr>
          <w:p w14:paraId="739E822B">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监理主要内容：</w:t>
            </w:r>
          </w:p>
          <w:p w14:paraId="02DB0CEE">
            <w:pPr>
              <w:spacing w:line="400" w:lineRule="exact"/>
              <w:rPr>
                <w:rFonts w:hint="eastAsia" w:ascii="宋体" w:hAnsi="宋体" w:cs="宋体"/>
                <w:color w:val="auto"/>
                <w:sz w:val="24"/>
                <w:szCs w:val="24"/>
                <w:highlight w:val="none"/>
              </w:rPr>
            </w:pPr>
          </w:p>
          <w:p w14:paraId="1FFFD322">
            <w:pPr>
              <w:spacing w:line="400" w:lineRule="exact"/>
              <w:rPr>
                <w:rFonts w:hint="eastAsia" w:ascii="宋体" w:hAnsi="宋体" w:cs="宋体"/>
                <w:color w:val="auto"/>
                <w:sz w:val="24"/>
                <w:szCs w:val="24"/>
                <w:highlight w:val="none"/>
              </w:rPr>
            </w:pPr>
          </w:p>
          <w:p w14:paraId="6EE7193C">
            <w:pPr>
              <w:spacing w:line="400" w:lineRule="exact"/>
              <w:rPr>
                <w:rFonts w:hint="eastAsia" w:ascii="宋体" w:hAnsi="宋体" w:cs="宋体"/>
                <w:color w:val="auto"/>
                <w:sz w:val="24"/>
                <w:szCs w:val="24"/>
                <w:highlight w:val="none"/>
              </w:rPr>
            </w:pPr>
          </w:p>
          <w:p w14:paraId="33E08DC1">
            <w:pPr>
              <w:spacing w:line="400" w:lineRule="exact"/>
              <w:rPr>
                <w:rFonts w:hint="eastAsia" w:ascii="宋体" w:hAnsi="宋体" w:cs="宋体"/>
                <w:color w:val="auto"/>
                <w:sz w:val="24"/>
                <w:szCs w:val="24"/>
                <w:highlight w:val="none"/>
              </w:rPr>
            </w:pPr>
          </w:p>
          <w:p w14:paraId="3F2C3E14">
            <w:pPr>
              <w:spacing w:line="400" w:lineRule="exact"/>
              <w:rPr>
                <w:rFonts w:hint="eastAsia" w:ascii="宋体" w:hAnsi="宋体" w:cs="宋体"/>
                <w:color w:val="auto"/>
                <w:sz w:val="24"/>
                <w:szCs w:val="24"/>
                <w:highlight w:val="none"/>
              </w:rPr>
            </w:pPr>
          </w:p>
        </w:tc>
      </w:tr>
      <w:tr w14:paraId="154C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CFCEDD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设计单位</w:t>
            </w:r>
          </w:p>
        </w:tc>
        <w:tc>
          <w:tcPr>
            <w:tcW w:w="6560" w:type="dxa"/>
            <w:gridSpan w:val="3"/>
            <w:noWrap w:val="0"/>
            <w:vAlign w:val="top"/>
          </w:tcPr>
          <w:p w14:paraId="42ECAB65">
            <w:pPr>
              <w:spacing w:line="400" w:lineRule="exact"/>
              <w:jc w:val="center"/>
              <w:rPr>
                <w:rFonts w:hint="eastAsia" w:ascii="宋体" w:hAnsi="宋体" w:cs="宋体"/>
                <w:color w:val="auto"/>
                <w:sz w:val="24"/>
                <w:szCs w:val="24"/>
                <w:highlight w:val="none"/>
              </w:rPr>
            </w:pPr>
          </w:p>
        </w:tc>
      </w:tr>
      <w:tr w14:paraId="2188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7200D22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施工单位</w:t>
            </w:r>
          </w:p>
        </w:tc>
        <w:tc>
          <w:tcPr>
            <w:tcW w:w="6560" w:type="dxa"/>
            <w:gridSpan w:val="3"/>
            <w:noWrap w:val="0"/>
            <w:vAlign w:val="top"/>
          </w:tcPr>
          <w:p w14:paraId="472112C8">
            <w:pPr>
              <w:spacing w:line="400" w:lineRule="exact"/>
              <w:jc w:val="center"/>
              <w:rPr>
                <w:rFonts w:hint="eastAsia" w:ascii="宋体" w:hAnsi="宋体" w:cs="宋体"/>
                <w:color w:val="auto"/>
                <w:sz w:val="24"/>
                <w:szCs w:val="24"/>
                <w:highlight w:val="none"/>
              </w:rPr>
            </w:pPr>
          </w:p>
        </w:tc>
      </w:tr>
      <w:tr w14:paraId="5489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restart"/>
            <w:noWrap w:val="0"/>
            <w:vAlign w:val="top"/>
          </w:tcPr>
          <w:p w14:paraId="14C927E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业</w:t>
            </w:r>
          </w:p>
          <w:p w14:paraId="625FE0E5">
            <w:pPr>
              <w:spacing w:line="400" w:lineRule="exact"/>
              <w:jc w:val="center"/>
              <w:rPr>
                <w:rFonts w:hint="eastAsia" w:ascii="宋体" w:hAnsi="宋体" w:cs="宋体"/>
                <w:color w:val="auto"/>
                <w:sz w:val="24"/>
                <w:szCs w:val="24"/>
                <w:highlight w:val="none"/>
              </w:rPr>
            </w:pPr>
          </w:p>
          <w:p w14:paraId="4D62A2BE">
            <w:pPr>
              <w:spacing w:line="400" w:lineRule="exact"/>
              <w:jc w:val="center"/>
              <w:rPr>
                <w:rFonts w:hint="eastAsia" w:ascii="宋体" w:hAnsi="宋体" w:cs="宋体"/>
                <w:color w:val="auto"/>
                <w:sz w:val="24"/>
                <w:szCs w:val="24"/>
                <w:highlight w:val="none"/>
              </w:rPr>
            </w:pPr>
          </w:p>
          <w:p w14:paraId="2B19723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主</w:t>
            </w:r>
          </w:p>
        </w:tc>
        <w:tc>
          <w:tcPr>
            <w:tcW w:w="1980" w:type="dxa"/>
            <w:noWrap w:val="0"/>
            <w:vAlign w:val="top"/>
          </w:tcPr>
          <w:p w14:paraId="0172F80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p>
        </w:tc>
        <w:tc>
          <w:tcPr>
            <w:tcW w:w="6560" w:type="dxa"/>
            <w:gridSpan w:val="3"/>
            <w:noWrap w:val="0"/>
            <w:vAlign w:val="top"/>
          </w:tcPr>
          <w:p w14:paraId="302CACE1">
            <w:pPr>
              <w:spacing w:line="400" w:lineRule="exact"/>
              <w:jc w:val="center"/>
              <w:rPr>
                <w:rFonts w:hint="eastAsia" w:ascii="宋体" w:hAnsi="宋体" w:cs="宋体"/>
                <w:color w:val="auto"/>
                <w:sz w:val="24"/>
                <w:szCs w:val="24"/>
                <w:highlight w:val="none"/>
              </w:rPr>
            </w:pPr>
          </w:p>
        </w:tc>
      </w:tr>
      <w:tr w14:paraId="5811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749D04BC">
            <w:pPr>
              <w:spacing w:line="400" w:lineRule="exact"/>
              <w:jc w:val="center"/>
              <w:rPr>
                <w:rFonts w:hint="eastAsia" w:ascii="宋体" w:hAnsi="宋体" w:cs="宋体"/>
                <w:color w:val="auto"/>
                <w:sz w:val="24"/>
                <w:szCs w:val="24"/>
                <w:highlight w:val="none"/>
              </w:rPr>
            </w:pPr>
          </w:p>
        </w:tc>
        <w:tc>
          <w:tcPr>
            <w:tcW w:w="1980" w:type="dxa"/>
            <w:noWrap w:val="0"/>
            <w:vAlign w:val="top"/>
          </w:tcPr>
          <w:p w14:paraId="33425092">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单位地址</w:t>
            </w:r>
          </w:p>
        </w:tc>
        <w:tc>
          <w:tcPr>
            <w:tcW w:w="6560" w:type="dxa"/>
            <w:gridSpan w:val="3"/>
            <w:noWrap w:val="0"/>
            <w:vAlign w:val="top"/>
          </w:tcPr>
          <w:p w14:paraId="2106B66F">
            <w:pPr>
              <w:spacing w:line="400" w:lineRule="exact"/>
              <w:jc w:val="center"/>
              <w:rPr>
                <w:rFonts w:hint="eastAsia" w:ascii="宋体" w:hAnsi="宋体" w:cs="宋体"/>
                <w:color w:val="auto"/>
                <w:sz w:val="24"/>
                <w:szCs w:val="24"/>
                <w:highlight w:val="none"/>
              </w:rPr>
            </w:pPr>
          </w:p>
        </w:tc>
      </w:tr>
      <w:tr w14:paraId="3CE9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6908D49B">
            <w:pPr>
              <w:spacing w:line="400" w:lineRule="exact"/>
              <w:jc w:val="center"/>
              <w:rPr>
                <w:rFonts w:hint="eastAsia" w:ascii="宋体" w:hAnsi="宋体" w:cs="宋体"/>
                <w:color w:val="auto"/>
                <w:sz w:val="24"/>
                <w:szCs w:val="24"/>
                <w:highlight w:val="none"/>
              </w:rPr>
            </w:pPr>
          </w:p>
        </w:tc>
        <w:tc>
          <w:tcPr>
            <w:tcW w:w="1980" w:type="dxa"/>
            <w:noWrap w:val="0"/>
            <w:vAlign w:val="top"/>
          </w:tcPr>
          <w:p w14:paraId="07A33C9D">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 系 人</w:t>
            </w:r>
          </w:p>
        </w:tc>
        <w:tc>
          <w:tcPr>
            <w:tcW w:w="6560" w:type="dxa"/>
            <w:gridSpan w:val="3"/>
            <w:noWrap w:val="0"/>
            <w:vAlign w:val="top"/>
          </w:tcPr>
          <w:p w14:paraId="4DFB48FE">
            <w:pPr>
              <w:spacing w:line="400" w:lineRule="exact"/>
              <w:jc w:val="center"/>
              <w:rPr>
                <w:rFonts w:hint="eastAsia" w:ascii="宋体" w:hAnsi="宋体" w:cs="宋体"/>
                <w:color w:val="auto"/>
                <w:sz w:val="24"/>
                <w:szCs w:val="24"/>
                <w:highlight w:val="none"/>
              </w:rPr>
            </w:pPr>
          </w:p>
        </w:tc>
      </w:tr>
      <w:tr w14:paraId="2D47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2470B8FB">
            <w:pPr>
              <w:spacing w:line="400" w:lineRule="exact"/>
              <w:jc w:val="center"/>
              <w:rPr>
                <w:rFonts w:hint="eastAsia" w:ascii="宋体" w:hAnsi="宋体" w:cs="宋体"/>
                <w:color w:val="auto"/>
                <w:sz w:val="24"/>
                <w:szCs w:val="24"/>
                <w:highlight w:val="none"/>
              </w:rPr>
            </w:pPr>
          </w:p>
        </w:tc>
        <w:tc>
          <w:tcPr>
            <w:tcW w:w="1980" w:type="dxa"/>
            <w:noWrap w:val="0"/>
            <w:vAlign w:val="top"/>
          </w:tcPr>
          <w:p w14:paraId="761E1696">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p>
        </w:tc>
        <w:tc>
          <w:tcPr>
            <w:tcW w:w="6560" w:type="dxa"/>
            <w:gridSpan w:val="3"/>
            <w:noWrap w:val="0"/>
            <w:vAlign w:val="top"/>
          </w:tcPr>
          <w:p w14:paraId="06E17783">
            <w:pPr>
              <w:spacing w:line="400" w:lineRule="exact"/>
              <w:jc w:val="center"/>
              <w:rPr>
                <w:rFonts w:hint="eastAsia" w:ascii="宋体" w:hAnsi="宋体" w:cs="宋体"/>
                <w:color w:val="auto"/>
                <w:sz w:val="24"/>
                <w:szCs w:val="24"/>
                <w:highlight w:val="none"/>
              </w:rPr>
            </w:pPr>
          </w:p>
        </w:tc>
      </w:tr>
      <w:tr w14:paraId="2B8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jc w:val="center"/>
        </w:trPr>
        <w:tc>
          <w:tcPr>
            <w:tcW w:w="594" w:type="dxa"/>
            <w:vMerge w:val="continue"/>
            <w:noWrap w:val="0"/>
            <w:vAlign w:val="top"/>
          </w:tcPr>
          <w:p w14:paraId="08D9F1A5">
            <w:pPr>
              <w:spacing w:line="400" w:lineRule="exact"/>
              <w:jc w:val="center"/>
              <w:rPr>
                <w:rFonts w:hint="eastAsia" w:ascii="宋体" w:hAnsi="宋体" w:cs="宋体"/>
                <w:color w:val="auto"/>
                <w:sz w:val="24"/>
                <w:szCs w:val="24"/>
                <w:highlight w:val="none"/>
              </w:rPr>
            </w:pPr>
          </w:p>
        </w:tc>
        <w:tc>
          <w:tcPr>
            <w:tcW w:w="1980" w:type="dxa"/>
            <w:noWrap w:val="0"/>
            <w:vAlign w:val="top"/>
          </w:tcPr>
          <w:p w14:paraId="2EFD84E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传真号码</w:t>
            </w:r>
          </w:p>
        </w:tc>
        <w:tc>
          <w:tcPr>
            <w:tcW w:w="6560" w:type="dxa"/>
            <w:gridSpan w:val="3"/>
            <w:noWrap w:val="0"/>
            <w:vAlign w:val="top"/>
          </w:tcPr>
          <w:p w14:paraId="76CA7E7D">
            <w:pPr>
              <w:spacing w:line="400" w:lineRule="exact"/>
              <w:jc w:val="center"/>
              <w:rPr>
                <w:rFonts w:hint="eastAsia" w:ascii="宋体" w:hAnsi="宋体" w:cs="宋体"/>
                <w:color w:val="auto"/>
                <w:sz w:val="24"/>
                <w:szCs w:val="24"/>
                <w:highlight w:val="none"/>
              </w:rPr>
            </w:pPr>
          </w:p>
        </w:tc>
      </w:tr>
    </w:tbl>
    <w:p w14:paraId="4E513385">
      <w:pPr>
        <w:spacing w:line="400" w:lineRule="exact"/>
        <w:jc w:val="center"/>
        <w:rPr>
          <w:rFonts w:hint="eastAsia" w:ascii="宋体" w:hAnsi="宋体" w:cs="宋体"/>
          <w:b/>
          <w:color w:val="auto"/>
          <w:sz w:val="28"/>
          <w:highlight w:val="none"/>
        </w:rPr>
      </w:pPr>
    </w:p>
    <w:p w14:paraId="4F8C60EF">
      <w:pPr>
        <w:spacing w:line="400" w:lineRule="exact"/>
        <w:rPr>
          <w:rFonts w:hint="eastAsia" w:ascii="宋体" w:hAnsi="宋体" w:cs="宋体"/>
          <w:bCs/>
          <w:color w:val="auto"/>
          <w:sz w:val="28"/>
          <w:szCs w:val="28"/>
          <w:highlight w:val="none"/>
        </w:rPr>
      </w:pPr>
    </w:p>
    <w:p w14:paraId="3B501E1C">
      <w:pPr>
        <w:spacing w:line="400" w:lineRule="exact"/>
        <w:jc w:val="center"/>
        <w:rPr>
          <w:rFonts w:hint="eastAsia" w:ascii="宋体" w:hAnsi="宋体" w:cs="宋体"/>
          <w:b/>
          <w:bCs/>
          <w:color w:val="auto"/>
          <w:sz w:val="36"/>
          <w:highlight w:val="none"/>
        </w:rPr>
      </w:pPr>
      <w:r>
        <w:rPr>
          <w:rFonts w:hint="eastAsia" w:ascii="宋体" w:hAnsi="宋体" w:cs="宋体"/>
          <w:bCs/>
          <w:color w:val="auto"/>
          <w:sz w:val="28"/>
          <w:szCs w:val="28"/>
          <w:highlight w:val="none"/>
        </w:rPr>
        <w:br w:type="page"/>
      </w:r>
      <w:r>
        <w:rPr>
          <w:rFonts w:hint="eastAsia" w:ascii="宋体" w:hAnsi="宋体" w:eastAsia="宋体" w:cs="Times New Roman"/>
          <w:b/>
          <w:color w:val="auto"/>
          <w:kern w:val="2"/>
          <w:sz w:val="28"/>
          <w:szCs w:val="28"/>
          <w:highlight w:val="none"/>
          <w:lang w:val="en-US" w:eastAsia="zh-CN" w:bidi="ar-SA"/>
        </w:rPr>
        <w:t>派驻此次招标工程监理人员汇总表</w:t>
      </w:r>
    </w:p>
    <w:p w14:paraId="41585745">
      <w:pPr>
        <w:pStyle w:val="15"/>
        <w:spacing w:line="400" w:lineRule="exact"/>
        <w:rPr>
          <w:rFonts w:hint="eastAsia" w:ascii="宋体" w:hAnsi="宋体" w:cs="宋体"/>
          <w:color w:val="auto"/>
          <w:highlight w:val="none"/>
        </w:rPr>
      </w:pPr>
    </w:p>
    <w:p w14:paraId="11798913">
      <w:pPr>
        <w:spacing w:line="400" w:lineRule="exact"/>
        <w:rPr>
          <w:rFonts w:hint="eastAsia" w:ascii="宋体" w:hAnsi="宋体" w:cs="宋体"/>
          <w:b/>
          <w:color w:val="auto"/>
          <w:sz w:val="24"/>
          <w:highlight w:val="none"/>
        </w:rPr>
      </w:pPr>
      <w:r>
        <w:rPr>
          <w:rFonts w:hint="eastAsia" w:ascii="宋体" w:hAnsi="宋体" w:cs="宋体"/>
          <w:b/>
          <w:color w:val="auto"/>
          <w:sz w:val="24"/>
          <w:highlight w:val="none"/>
        </w:rPr>
        <w:t>工程名称：</w:t>
      </w:r>
    </w:p>
    <w:tbl>
      <w:tblPr>
        <w:tblStyle w:val="25"/>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951"/>
        <w:gridCol w:w="569"/>
        <w:gridCol w:w="540"/>
        <w:gridCol w:w="900"/>
        <w:gridCol w:w="720"/>
        <w:gridCol w:w="1440"/>
        <w:gridCol w:w="2640"/>
      </w:tblGrid>
      <w:tr w14:paraId="19FA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top w:val="single" w:color="auto" w:sz="12" w:space="0"/>
              <w:left w:val="single" w:color="auto" w:sz="12" w:space="0"/>
              <w:bottom w:val="single" w:color="auto" w:sz="12" w:space="0"/>
            </w:tcBorders>
            <w:noWrap w:val="0"/>
            <w:vAlign w:val="center"/>
          </w:tcPr>
          <w:p w14:paraId="4437A916">
            <w:pPr>
              <w:spacing w:line="400" w:lineRule="exact"/>
              <w:rPr>
                <w:rFonts w:hint="eastAsia" w:ascii="宋体" w:hAnsi="宋体" w:cs="宋体"/>
                <w:color w:val="auto"/>
                <w:sz w:val="24"/>
                <w:highlight w:val="none"/>
              </w:rPr>
            </w:pPr>
            <w:r>
              <w:rPr>
                <w:rFonts w:hint="eastAsia" w:ascii="宋体" w:hAnsi="宋体" w:cs="宋体"/>
                <w:color w:val="auto"/>
                <w:sz w:val="24"/>
                <w:highlight w:val="none"/>
              </w:rPr>
              <w:t>姓  名</w:t>
            </w:r>
          </w:p>
        </w:tc>
        <w:tc>
          <w:tcPr>
            <w:tcW w:w="1951" w:type="dxa"/>
            <w:tcBorders>
              <w:top w:val="single" w:color="auto" w:sz="12" w:space="0"/>
              <w:bottom w:val="single" w:color="auto" w:sz="12" w:space="0"/>
            </w:tcBorders>
            <w:noWrap w:val="0"/>
            <w:vAlign w:val="center"/>
          </w:tcPr>
          <w:p w14:paraId="2C0FD771">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本工程拟任岗位</w:t>
            </w:r>
          </w:p>
        </w:tc>
        <w:tc>
          <w:tcPr>
            <w:tcW w:w="569" w:type="dxa"/>
            <w:tcBorders>
              <w:top w:val="single" w:color="auto" w:sz="12" w:space="0"/>
              <w:bottom w:val="single" w:color="auto" w:sz="12" w:space="0"/>
            </w:tcBorders>
            <w:noWrap w:val="0"/>
            <w:vAlign w:val="center"/>
          </w:tcPr>
          <w:p w14:paraId="28861D41">
            <w:pPr>
              <w:spacing w:line="400" w:lineRule="exact"/>
              <w:rPr>
                <w:rFonts w:hint="eastAsia" w:ascii="宋体" w:hAnsi="宋体" w:cs="宋体"/>
                <w:color w:val="auto"/>
                <w:sz w:val="24"/>
                <w:highlight w:val="none"/>
              </w:rPr>
            </w:pPr>
            <w:r>
              <w:rPr>
                <w:rFonts w:hint="eastAsia" w:ascii="宋体" w:hAnsi="宋体" w:cs="宋体"/>
                <w:color w:val="auto"/>
                <w:sz w:val="24"/>
                <w:highlight w:val="none"/>
              </w:rPr>
              <w:t>年龄</w:t>
            </w:r>
          </w:p>
        </w:tc>
        <w:tc>
          <w:tcPr>
            <w:tcW w:w="540" w:type="dxa"/>
            <w:tcBorders>
              <w:top w:val="single" w:color="auto" w:sz="12" w:space="0"/>
              <w:bottom w:val="single" w:color="auto" w:sz="12" w:space="0"/>
            </w:tcBorders>
            <w:noWrap w:val="0"/>
            <w:vAlign w:val="center"/>
          </w:tcPr>
          <w:p w14:paraId="5FF7310F">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性别</w:t>
            </w:r>
          </w:p>
        </w:tc>
        <w:tc>
          <w:tcPr>
            <w:tcW w:w="900" w:type="dxa"/>
            <w:tcBorders>
              <w:top w:val="single" w:color="auto" w:sz="12" w:space="0"/>
              <w:bottom w:val="single" w:color="auto" w:sz="12" w:space="0"/>
            </w:tcBorders>
            <w:noWrap w:val="0"/>
            <w:vAlign w:val="center"/>
          </w:tcPr>
          <w:p w14:paraId="2C1CD6C4">
            <w:pPr>
              <w:spacing w:line="400" w:lineRule="exact"/>
              <w:rPr>
                <w:rFonts w:hint="eastAsia" w:ascii="宋体" w:hAnsi="宋体" w:cs="宋体"/>
                <w:color w:val="auto"/>
                <w:sz w:val="24"/>
                <w:highlight w:val="none"/>
              </w:rPr>
            </w:pPr>
            <w:r>
              <w:rPr>
                <w:rFonts w:hint="eastAsia" w:ascii="宋体" w:hAnsi="宋体" w:cs="宋体"/>
                <w:color w:val="auto"/>
                <w:sz w:val="24"/>
                <w:highlight w:val="none"/>
              </w:rPr>
              <w:t>专 业</w:t>
            </w:r>
          </w:p>
        </w:tc>
        <w:tc>
          <w:tcPr>
            <w:tcW w:w="720" w:type="dxa"/>
            <w:tcBorders>
              <w:top w:val="single" w:color="auto" w:sz="12" w:space="0"/>
              <w:bottom w:val="single" w:color="auto" w:sz="12" w:space="0"/>
            </w:tcBorders>
            <w:noWrap w:val="0"/>
            <w:vAlign w:val="center"/>
          </w:tcPr>
          <w:p w14:paraId="1309E603">
            <w:pPr>
              <w:spacing w:line="400" w:lineRule="exact"/>
              <w:rPr>
                <w:rFonts w:hint="eastAsia" w:ascii="宋体" w:hAnsi="宋体" w:cs="宋体"/>
                <w:color w:val="auto"/>
                <w:sz w:val="24"/>
                <w:highlight w:val="none"/>
              </w:rPr>
            </w:pPr>
            <w:r>
              <w:rPr>
                <w:rFonts w:hint="eastAsia" w:ascii="宋体" w:hAnsi="宋体" w:cs="宋体"/>
                <w:color w:val="auto"/>
                <w:sz w:val="24"/>
                <w:highlight w:val="none"/>
              </w:rPr>
              <w:t>专业年限</w:t>
            </w:r>
          </w:p>
        </w:tc>
        <w:tc>
          <w:tcPr>
            <w:tcW w:w="1440" w:type="dxa"/>
            <w:tcBorders>
              <w:top w:val="single" w:color="auto" w:sz="12" w:space="0"/>
              <w:bottom w:val="single" w:color="auto" w:sz="12" w:space="0"/>
            </w:tcBorders>
            <w:noWrap w:val="0"/>
            <w:vAlign w:val="center"/>
          </w:tcPr>
          <w:p w14:paraId="71297EA3">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职称</w:t>
            </w:r>
          </w:p>
        </w:tc>
        <w:tc>
          <w:tcPr>
            <w:tcW w:w="2640" w:type="dxa"/>
            <w:tcBorders>
              <w:top w:val="single" w:color="auto" w:sz="12" w:space="0"/>
              <w:bottom w:val="single" w:color="auto" w:sz="12" w:space="0"/>
              <w:right w:val="single" w:color="auto" w:sz="12" w:space="0"/>
            </w:tcBorders>
            <w:noWrap w:val="0"/>
            <w:vAlign w:val="center"/>
          </w:tcPr>
          <w:p w14:paraId="5F29F894">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安排上岗 起止时间</w:t>
            </w:r>
          </w:p>
        </w:tc>
      </w:tr>
      <w:tr w14:paraId="7D7E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top w:val="single" w:color="auto" w:sz="12" w:space="0"/>
              <w:left w:val="single" w:color="auto" w:sz="12" w:space="0"/>
            </w:tcBorders>
            <w:noWrap w:val="0"/>
            <w:vAlign w:val="center"/>
          </w:tcPr>
          <w:p w14:paraId="43727B44">
            <w:pPr>
              <w:spacing w:line="400" w:lineRule="exact"/>
              <w:rPr>
                <w:rFonts w:hint="eastAsia" w:ascii="宋体" w:hAnsi="宋体" w:cs="宋体"/>
                <w:color w:val="auto"/>
                <w:sz w:val="24"/>
                <w:highlight w:val="none"/>
              </w:rPr>
            </w:pPr>
          </w:p>
        </w:tc>
        <w:tc>
          <w:tcPr>
            <w:tcW w:w="1951" w:type="dxa"/>
            <w:tcBorders>
              <w:top w:val="single" w:color="auto" w:sz="12" w:space="0"/>
            </w:tcBorders>
            <w:noWrap w:val="0"/>
            <w:vAlign w:val="center"/>
          </w:tcPr>
          <w:p w14:paraId="52E98750">
            <w:pPr>
              <w:spacing w:line="400" w:lineRule="exact"/>
              <w:rPr>
                <w:rFonts w:hint="eastAsia" w:ascii="宋体" w:hAnsi="宋体" w:cs="宋体"/>
                <w:color w:val="auto"/>
                <w:sz w:val="24"/>
                <w:highlight w:val="none"/>
              </w:rPr>
            </w:pPr>
          </w:p>
        </w:tc>
        <w:tc>
          <w:tcPr>
            <w:tcW w:w="569" w:type="dxa"/>
            <w:tcBorders>
              <w:top w:val="single" w:color="auto" w:sz="12" w:space="0"/>
            </w:tcBorders>
            <w:noWrap w:val="0"/>
            <w:vAlign w:val="center"/>
          </w:tcPr>
          <w:p w14:paraId="15CC44EC">
            <w:pPr>
              <w:spacing w:line="400" w:lineRule="exact"/>
              <w:rPr>
                <w:rFonts w:hint="eastAsia" w:ascii="宋体" w:hAnsi="宋体" w:cs="宋体"/>
                <w:color w:val="auto"/>
                <w:sz w:val="24"/>
                <w:highlight w:val="none"/>
              </w:rPr>
            </w:pPr>
          </w:p>
        </w:tc>
        <w:tc>
          <w:tcPr>
            <w:tcW w:w="540" w:type="dxa"/>
            <w:tcBorders>
              <w:top w:val="single" w:color="auto" w:sz="12" w:space="0"/>
            </w:tcBorders>
            <w:noWrap w:val="0"/>
            <w:vAlign w:val="center"/>
          </w:tcPr>
          <w:p w14:paraId="1D5B7013">
            <w:pPr>
              <w:spacing w:line="400" w:lineRule="exact"/>
              <w:rPr>
                <w:rFonts w:hint="eastAsia" w:ascii="宋体" w:hAnsi="宋体" w:cs="宋体"/>
                <w:color w:val="auto"/>
                <w:sz w:val="24"/>
                <w:highlight w:val="none"/>
              </w:rPr>
            </w:pPr>
          </w:p>
        </w:tc>
        <w:tc>
          <w:tcPr>
            <w:tcW w:w="900" w:type="dxa"/>
            <w:tcBorders>
              <w:top w:val="single" w:color="auto" w:sz="12" w:space="0"/>
            </w:tcBorders>
            <w:noWrap w:val="0"/>
            <w:vAlign w:val="center"/>
          </w:tcPr>
          <w:p w14:paraId="3A2A8D53">
            <w:pPr>
              <w:spacing w:line="400" w:lineRule="exact"/>
              <w:rPr>
                <w:rFonts w:hint="eastAsia" w:ascii="宋体" w:hAnsi="宋体" w:cs="宋体"/>
                <w:color w:val="auto"/>
                <w:sz w:val="24"/>
                <w:highlight w:val="none"/>
              </w:rPr>
            </w:pPr>
          </w:p>
        </w:tc>
        <w:tc>
          <w:tcPr>
            <w:tcW w:w="720" w:type="dxa"/>
            <w:tcBorders>
              <w:top w:val="single" w:color="auto" w:sz="12" w:space="0"/>
            </w:tcBorders>
            <w:noWrap w:val="0"/>
            <w:vAlign w:val="center"/>
          </w:tcPr>
          <w:p w14:paraId="62F2C6DB">
            <w:pPr>
              <w:spacing w:line="400" w:lineRule="exact"/>
              <w:rPr>
                <w:rFonts w:hint="eastAsia" w:ascii="宋体" w:hAnsi="宋体" w:cs="宋体"/>
                <w:color w:val="auto"/>
                <w:sz w:val="24"/>
                <w:highlight w:val="none"/>
              </w:rPr>
            </w:pPr>
          </w:p>
        </w:tc>
        <w:tc>
          <w:tcPr>
            <w:tcW w:w="1440" w:type="dxa"/>
            <w:tcBorders>
              <w:top w:val="single" w:color="auto" w:sz="12" w:space="0"/>
            </w:tcBorders>
            <w:noWrap w:val="0"/>
            <w:vAlign w:val="center"/>
          </w:tcPr>
          <w:p w14:paraId="37AF31B9">
            <w:pPr>
              <w:pStyle w:val="15"/>
              <w:spacing w:line="400" w:lineRule="exact"/>
              <w:rPr>
                <w:rFonts w:hint="eastAsia" w:ascii="宋体" w:hAnsi="宋体" w:cs="宋体"/>
                <w:color w:val="auto"/>
                <w:highlight w:val="none"/>
              </w:rPr>
            </w:pPr>
          </w:p>
        </w:tc>
        <w:tc>
          <w:tcPr>
            <w:tcW w:w="2640" w:type="dxa"/>
            <w:tcBorders>
              <w:top w:val="single" w:color="auto" w:sz="12" w:space="0"/>
              <w:right w:val="single" w:color="auto" w:sz="12" w:space="0"/>
            </w:tcBorders>
            <w:noWrap w:val="0"/>
            <w:vAlign w:val="center"/>
          </w:tcPr>
          <w:p w14:paraId="131E49D6">
            <w:pPr>
              <w:spacing w:line="400" w:lineRule="exact"/>
              <w:rPr>
                <w:rFonts w:hint="eastAsia" w:ascii="宋体" w:hAnsi="宋体" w:cs="宋体"/>
                <w:color w:val="auto"/>
                <w:sz w:val="24"/>
                <w:highlight w:val="none"/>
              </w:rPr>
            </w:pPr>
          </w:p>
        </w:tc>
      </w:tr>
      <w:tr w14:paraId="43EB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39BF7708">
            <w:pPr>
              <w:spacing w:line="400" w:lineRule="exact"/>
              <w:rPr>
                <w:rFonts w:hint="eastAsia" w:ascii="宋体" w:hAnsi="宋体" w:cs="宋体"/>
                <w:color w:val="auto"/>
                <w:sz w:val="24"/>
                <w:highlight w:val="none"/>
              </w:rPr>
            </w:pPr>
          </w:p>
        </w:tc>
        <w:tc>
          <w:tcPr>
            <w:tcW w:w="1951" w:type="dxa"/>
            <w:noWrap w:val="0"/>
            <w:vAlign w:val="center"/>
          </w:tcPr>
          <w:p w14:paraId="2904F5B7">
            <w:pPr>
              <w:spacing w:line="400" w:lineRule="exact"/>
              <w:rPr>
                <w:rFonts w:hint="eastAsia" w:ascii="宋体" w:hAnsi="宋体" w:cs="宋体"/>
                <w:color w:val="auto"/>
                <w:sz w:val="24"/>
                <w:highlight w:val="none"/>
              </w:rPr>
            </w:pPr>
          </w:p>
        </w:tc>
        <w:tc>
          <w:tcPr>
            <w:tcW w:w="569" w:type="dxa"/>
            <w:noWrap w:val="0"/>
            <w:vAlign w:val="center"/>
          </w:tcPr>
          <w:p w14:paraId="7A7E7275">
            <w:pPr>
              <w:spacing w:line="400" w:lineRule="exact"/>
              <w:rPr>
                <w:rFonts w:hint="eastAsia" w:ascii="宋体" w:hAnsi="宋体" w:cs="宋体"/>
                <w:color w:val="auto"/>
                <w:sz w:val="24"/>
                <w:highlight w:val="none"/>
              </w:rPr>
            </w:pPr>
          </w:p>
        </w:tc>
        <w:tc>
          <w:tcPr>
            <w:tcW w:w="540" w:type="dxa"/>
            <w:noWrap w:val="0"/>
            <w:vAlign w:val="center"/>
          </w:tcPr>
          <w:p w14:paraId="7C9BF96D">
            <w:pPr>
              <w:spacing w:line="400" w:lineRule="exact"/>
              <w:rPr>
                <w:rFonts w:hint="eastAsia" w:ascii="宋体" w:hAnsi="宋体" w:cs="宋体"/>
                <w:color w:val="auto"/>
                <w:sz w:val="24"/>
                <w:highlight w:val="none"/>
              </w:rPr>
            </w:pPr>
          </w:p>
        </w:tc>
        <w:tc>
          <w:tcPr>
            <w:tcW w:w="900" w:type="dxa"/>
            <w:noWrap w:val="0"/>
            <w:vAlign w:val="center"/>
          </w:tcPr>
          <w:p w14:paraId="49AD804D">
            <w:pPr>
              <w:spacing w:line="400" w:lineRule="exact"/>
              <w:rPr>
                <w:rFonts w:hint="eastAsia" w:ascii="宋体" w:hAnsi="宋体" w:cs="宋体"/>
                <w:color w:val="auto"/>
                <w:sz w:val="24"/>
                <w:highlight w:val="none"/>
              </w:rPr>
            </w:pPr>
          </w:p>
        </w:tc>
        <w:tc>
          <w:tcPr>
            <w:tcW w:w="720" w:type="dxa"/>
            <w:noWrap w:val="0"/>
            <w:vAlign w:val="center"/>
          </w:tcPr>
          <w:p w14:paraId="01F9840F">
            <w:pPr>
              <w:spacing w:line="400" w:lineRule="exact"/>
              <w:rPr>
                <w:rFonts w:hint="eastAsia" w:ascii="宋体" w:hAnsi="宋体" w:cs="宋体"/>
                <w:color w:val="auto"/>
                <w:sz w:val="24"/>
                <w:highlight w:val="none"/>
              </w:rPr>
            </w:pPr>
          </w:p>
        </w:tc>
        <w:tc>
          <w:tcPr>
            <w:tcW w:w="1440" w:type="dxa"/>
            <w:noWrap w:val="0"/>
            <w:vAlign w:val="center"/>
          </w:tcPr>
          <w:p w14:paraId="31FC16A8">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3AFC6367">
            <w:pPr>
              <w:pStyle w:val="15"/>
              <w:spacing w:line="400" w:lineRule="exact"/>
              <w:rPr>
                <w:rFonts w:hint="eastAsia" w:ascii="宋体" w:hAnsi="宋体" w:cs="宋体"/>
                <w:color w:val="auto"/>
                <w:highlight w:val="none"/>
              </w:rPr>
            </w:pPr>
          </w:p>
        </w:tc>
      </w:tr>
      <w:tr w14:paraId="2839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7E054A1D">
            <w:pPr>
              <w:spacing w:line="400" w:lineRule="exact"/>
              <w:rPr>
                <w:rFonts w:hint="eastAsia" w:ascii="宋体" w:hAnsi="宋体" w:cs="宋体"/>
                <w:color w:val="auto"/>
                <w:sz w:val="24"/>
                <w:highlight w:val="none"/>
              </w:rPr>
            </w:pPr>
          </w:p>
        </w:tc>
        <w:tc>
          <w:tcPr>
            <w:tcW w:w="1951" w:type="dxa"/>
            <w:noWrap w:val="0"/>
            <w:vAlign w:val="center"/>
          </w:tcPr>
          <w:p w14:paraId="7120003D">
            <w:pPr>
              <w:spacing w:line="400" w:lineRule="exact"/>
              <w:rPr>
                <w:rFonts w:hint="eastAsia" w:ascii="宋体" w:hAnsi="宋体" w:cs="宋体"/>
                <w:color w:val="auto"/>
                <w:sz w:val="24"/>
                <w:highlight w:val="none"/>
              </w:rPr>
            </w:pPr>
          </w:p>
        </w:tc>
        <w:tc>
          <w:tcPr>
            <w:tcW w:w="569" w:type="dxa"/>
            <w:noWrap w:val="0"/>
            <w:vAlign w:val="center"/>
          </w:tcPr>
          <w:p w14:paraId="2F06C7C5">
            <w:pPr>
              <w:spacing w:line="400" w:lineRule="exact"/>
              <w:rPr>
                <w:rFonts w:hint="eastAsia" w:ascii="宋体" w:hAnsi="宋体" w:cs="宋体"/>
                <w:color w:val="auto"/>
                <w:sz w:val="24"/>
                <w:highlight w:val="none"/>
              </w:rPr>
            </w:pPr>
          </w:p>
        </w:tc>
        <w:tc>
          <w:tcPr>
            <w:tcW w:w="540" w:type="dxa"/>
            <w:noWrap w:val="0"/>
            <w:vAlign w:val="center"/>
          </w:tcPr>
          <w:p w14:paraId="4FF73DE7">
            <w:pPr>
              <w:spacing w:line="400" w:lineRule="exact"/>
              <w:rPr>
                <w:rFonts w:hint="eastAsia" w:ascii="宋体" w:hAnsi="宋体" w:cs="宋体"/>
                <w:color w:val="auto"/>
                <w:sz w:val="24"/>
                <w:highlight w:val="none"/>
              </w:rPr>
            </w:pPr>
          </w:p>
        </w:tc>
        <w:tc>
          <w:tcPr>
            <w:tcW w:w="900" w:type="dxa"/>
            <w:noWrap w:val="0"/>
            <w:vAlign w:val="center"/>
          </w:tcPr>
          <w:p w14:paraId="0353F274">
            <w:pPr>
              <w:spacing w:line="400" w:lineRule="exact"/>
              <w:rPr>
                <w:rFonts w:hint="eastAsia" w:ascii="宋体" w:hAnsi="宋体" w:cs="宋体"/>
                <w:color w:val="auto"/>
                <w:sz w:val="24"/>
                <w:highlight w:val="none"/>
              </w:rPr>
            </w:pPr>
          </w:p>
        </w:tc>
        <w:tc>
          <w:tcPr>
            <w:tcW w:w="720" w:type="dxa"/>
            <w:noWrap w:val="0"/>
            <w:vAlign w:val="center"/>
          </w:tcPr>
          <w:p w14:paraId="59FE4BE7">
            <w:pPr>
              <w:spacing w:line="400" w:lineRule="exact"/>
              <w:rPr>
                <w:rFonts w:hint="eastAsia" w:ascii="宋体" w:hAnsi="宋体" w:cs="宋体"/>
                <w:color w:val="auto"/>
                <w:sz w:val="24"/>
                <w:highlight w:val="none"/>
              </w:rPr>
            </w:pPr>
          </w:p>
        </w:tc>
        <w:tc>
          <w:tcPr>
            <w:tcW w:w="1440" w:type="dxa"/>
            <w:noWrap w:val="0"/>
            <w:vAlign w:val="center"/>
          </w:tcPr>
          <w:p w14:paraId="551712E4">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108C3D59">
            <w:pPr>
              <w:spacing w:line="400" w:lineRule="exact"/>
              <w:rPr>
                <w:rFonts w:hint="eastAsia" w:ascii="宋体" w:hAnsi="宋体" w:cs="宋体"/>
                <w:color w:val="auto"/>
                <w:sz w:val="24"/>
                <w:highlight w:val="none"/>
              </w:rPr>
            </w:pPr>
          </w:p>
        </w:tc>
      </w:tr>
      <w:tr w14:paraId="67CC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032660B8">
            <w:pPr>
              <w:spacing w:line="400" w:lineRule="exact"/>
              <w:rPr>
                <w:rFonts w:hint="eastAsia" w:ascii="宋体" w:hAnsi="宋体" w:cs="宋体"/>
                <w:color w:val="auto"/>
                <w:sz w:val="24"/>
                <w:highlight w:val="none"/>
              </w:rPr>
            </w:pPr>
          </w:p>
        </w:tc>
        <w:tc>
          <w:tcPr>
            <w:tcW w:w="1951" w:type="dxa"/>
            <w:noWrap w:val="0"/>
            <w:vAlign w:val="center"/>
          </w:tcPr>
          <w:p w14:paraId="11EA985B">
            <w:pPr>
              <w:spacing w:line="400" w:lineRule="exact"/>
              <w:rPr>
                <w:rFonts w:hint="eastAsia" w:ascii="宋体" w:hAnsi="宋体" w:cs="宋体"/>
                <w:color w:val="auto"/>
                <w:sz w:val="24"/>
                <w:highlight w:val="none"/>
              </w:rPr>
            </w:pPr>
          </w:p>
        </w:tc>
        <w:tc>
          <w:tcPr>
            <w:tcW w:w="569" w:type="dxa"/>
            <w:noWrap w:val="0"/>
            <w:vAlign w:val="center"/>
          </w:tcPr>
          <w:p w14:paraId="7530349F">
            <w:pPr>
              <w:spacing w:line="400" w:lineRule="exact"/>
              <w:rPr>
                <w:rFonts w:hint="eastAsia" w:ascii="宋体" w:hAnsi="宋体" w:cs="宋体"/>
                <w:color w:val="auto"/>
                <w:sz w:val="24"/>
                <w:highlight w:val="none"/>
              </w:rPr>
            </w:pPr>
          </w:p>
        </w:tc>
        <w:tc>
          <w:tcPr>
            <w:tcW w:w="540" w:type="dxa"/>
            <w:noWrap w:val="0"/>
            <w:vAlign w:val="center"/>
          </w:tcPr>
          <w:p w14:paraId="3F3F385C">
            <w:pPr>
              <w:spacing w:line="400" w:lineRule="exact"/>
              <w:rPr>
                <w:rFonts w:hint="eastAsia" w:ascii="宋体" w:hAnsi="宋体" w:cs="宋体"/>
                <w:color w:val="auto"/>
                <w:sz w:val="24"/>
                <w:highlight w:val="none"/>
              </w:rPr>
            </w:pPr>
          </w:p>
        </w:tc>
        <w:tc>
          <w:tcPr>
            <w:tcW w:w="900" w:type="dxa"/>
            <w:noWrap w:val="0"/>
            <w:vAlign w:val="center"/>
          </w:tcPr>
          <w:p w14:paraId="64A190E2">
            <w:pPr>
              <w:spacing w:line="400" w:lineRule="exact"/>
              <w:rPr>
                <w:rFonts w:hint="eastAsia" w:ascii="宋体" w:hAnsi="宋体" w:cs="宋体"/>
                <w:color w:val="auto"/>
                <w:sz w:val="24"/>
                <w:highlight w:val="none"/>
              </w:rPr>
            </w:pPr>
          </w:p>
        </w:tc>
        <w:tc>
          <w:tcPr>
            <w:tcW w:w="720" w:type="dxa"/>
            <w:noWrap w:val="0"/>
            <w:vAlign w:val="center"/>
          </w:tcPr>
          <w:p w14:paraId="5863A7CC">
            <w:pPr>
              <w:spacing w:line="400" w:lineRule="exact"/>
              <w:rPr>
                <w:rFonts w:hint="eastAsia" w:ascii="宋体" w:hAnsi="宋体" w:cs="宋体"/>
                <w:color w:val="auto"/>
                <w:sz w:val="24"/>
                <w:highlight w:val="none"/>
              </w:rPr>
            </w:pPr>
          </w:p>
        </w:tc>
        <w:tc>
          <w:tcPr>
            <w:tcW w:w="1440" w:type="dxa"/>
            <w:noWrap w:val="0"/>
            <w:vAlign w:val="center"/>
          </w:tcPr>
          <w:p w14:paraId="2555186F">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275EBE36">
            <w:pPr>
              <w:spacing w:line="400" w:lineRule="exact"/>
              <w:rPr>
                <w:rFonts w:hint="eastAsia" w:ascii="宋体" w:hAnsi="宋体" w:cs="宋体"/>
                <w:color w:val="auto"/>
                <w:sz w:val="24"/>
                <w:highlight w:val="none"/>
              </w:rPr>
            </w:pPr>
          </w:p>
        </w:tc>
      </w:tr>
      <w:tr w14:paraId="74C0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5C9EADFA">
            <w:pPr>
              <w:spacing w:line="400" w:lineRule="exact"/>
              <w:rPr>
                <w:rFonts w:hint="eastAsia" w:ascii="宋体" w:hAnsi="宋体" w:cs="宋体"/>
                <w:color w:val="auto"/>
                <w:sz w:val="24"/>
                <w:highlight w:val="none"/>
              </w:rPr>
            </w:pPr>
          </w:p>
        </w:tc>
        <w:tc>
          <w:tcPr>
            <w:tcW w:w="1951" w:type="dxa"/>
            <w:noWrap w:val="0"/>
            <w:vAlign w:val="center"/>
          </w:tcPr>
          <w:p w14:paraId="0441DF15">
            <w:pPr>
              <w:spacing w:line="400" w:lineRule="exact"/>
              <w:rPr>
                <w:rFonts w:hint="eastAsia" w:ascii="宋体" w:hAnsi="宋体" w:cs="宋体"/>
                <w:color w:val="auto"/>
                <w:sz w:val="24"/>
                <w:highlight w:val="none"/>
              </w:rPr>
            </w:pPr>
          </w:p>
        </w:tc>
        <w:tc>
          <w:tcPr>
            <w:tcW w:w="569" w:type="dxa"/>
            <w:noWrap w:val="0"/>
            <w:vAlign w:val="center"/>
          </w:tcPr>
          <w:p w14:paraId="602A6956">
            <w:pPr>
              <w:spacing w:line="400" w:lineRule="exact"/>
              <w:rPr>
                <w:rFonts w:hint="eastAsia" w:ascii="宋体" w:hAnsi="宋体" w:cs="宋体"/>
                <w:color w:val="auto"/>
                <w:sz w:val="24"/>
                <w:highlight w:val="none"/>
              </w:rPr>
            </w:pPr>
          </w:p>
        </w:tc>
        <w:tc>
          <w:tcPr>
            <w:tcW w:w="540" w:type="dxa"/>
            <w:noWrap w:val="0"/>
            <w:vAlign w:val="center"/>
          </w:tcPr>
          <w:p w14:paraId="0D230CAC">
            <w:pPr>
              <w:spacing w:line="400" w:lineRule="exact"/>
              <w:rPr>
                <w:rFonts w:hint="eastAsia" w:ascii="宋体" w:hAnsi="宋体" w:cs="宋体"/>
                <w:color w:val="auto"/>
                <w:sz w:val="24"/>
                <w:highlight w:val="none"/>
              </w:rPr>
            </w:pPr>
          </w:p>
        </w:tc>
        <w:tc>
          <w:tcPr>
            <w:tcW w:w="900" w:type="dxa"/>
            <w:noWrap w:val="0"/>
            <w:vAlign w:val="center"/>
          </w:tcPr>
          <w:p w14:paraId="464AF971">
            <w:pPr>
              <w:spacing w:line="400" w:lineRule="exact"/>
              <w:rPr>
                <w:rFonts w:hint="eastAsia" w:ascii="宋体" w:hAnsi="宋体" w:cs="宋体"/>
                <w:color w:val="auto"/>
                <w:sz w:val="24"/>
                <w:highlight w:val="none"/>
              </w:rPr>
            </w:pPr>
          </w:p>
        </w:tc>
        <w:tc>
          <w:tcPr>
            <w:tcW w:w="720" w:type="dxa"/>
            <w:noWrap w:val="0"/>
            <w:vAlign w:val="center"/>
          </w:tcPr>
          <w:p w14:paraId="0580AC81">
            <w:pPr>
              <w:spacing w:line="400" w:lineRule="exact"/>
              <w:rPr>
                <w:rFonts w:hint="eastAsia" w:ascii="宋体" w:hAnsi="宋体" w:cs="宋体"/>
                <w:color w:val="auto"/>
                <w:sz w:val="24"/>
                <w:highlight w:val="none"/>
              </w:rPr>
            </w:pPr>
          </w:p>
        </w:tc>
        <w:tc>
          <w:tcPr>
            <w:tcW w:w="1440" w:type="dxa"/>
            <w:noWrap w:val="0"/>
            <w:vAlign w:val="center"/>
          </w:tcPr>
          <w:p w14:paraId="33770CA8">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562C8F08">
            <w:pPr>
              <w:spacing w:line="400" w:lineRule="exact"/>
              <w:rPr>
                <w:rFonts w:hint="eastAsia" w:ascii="宋体" w:hAnsi="宋体" w:cs="宋体"/>
                <w:color w:val="auto"/>
                <w:sz w:val="24"/>
                <w:highlight w:val="none"/>
              </w:rPr>
            </w:pPr>
          </w:p>
        </w:tc>
      </w:tr>
      <w:tr w14:paraId="34C5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36C948D4">
            <w:pPr>
              <w:spacing w:line="400" w:lineRule="exact"/>
              <w:rPr>
                <w:rFonts w:hint="eastAsia" w:ascii="宋体" w:hAnsi="宋体" w:cs="宋体"/>
                <w:color w:val="auto"/>
                <w:sz w:val="24"/>
                <w:highlight w:val="none"/>
              </w:rPr>
            </w:pPr>
          </w:p>
        </w:tc>
        <w:tc>
          <w:tcPr>
            <w:tcW w:w="1951" w:type="dxa"/>
            <w:noWrap w:val="0"/>
            <w:vAlign w:val="center"/>
          </w:tcPr>
          <w:p w14:paraId="772F77ED">
            <w:pPr>
              <w:spacing w:line="400" w:lineRule="exact"/>
              <w:rPr>
                <w:rFonts w:hint="eastAsia" w:ascii="宋体" w:hAnsi="宋体" w:cs="宋体"/>
                <w:color w:val="auto"/>
                <w:sz w:val="24"/>
                <w:highlight w:val="none"/>
              </w:rPr>
            </w:pPr>
          </w:p>
        </w:tc>
        <w:tc>
          <w:tcPr>
            <w:tcW w:w="569" w:type="dxa"/>
            <w:noWrap w:val="0"/>
            <w:vAlign w:val="center"/>
          </w:tcPr>
          <w:p w14:paraId="40DB09CF">
            <w:pPr>
              <w:spacing w:line="400" w:lineRule="exact"/>
              <w:rPr>
                <w:rFonts w:hint="eastAsia" w:ascii="宋体" w:hAnsi="宋体" w:cs="宋体"/>
                <w:color w:val="auto"/>
                <w:sz w:val="24"/>
                <w:highlight w:val="none"/>
              </w:rPr>
            </w:pPr>
          </w:p>
        </w:tc>
        <w:tc>
          <w:tcPr>
            <w:tcW w:w="540" w:type="dxa"/>
            <w:noWrap w:val="0"/>
            <w:vAlign w:val="center"/>
          </w:tcPr>
          <w:p w14:paraId="16216F45">
            <w:pPr>
              <w:spacing w:line="400" w:lineRule="exact"/>
              <w:rPr>
                <w:rFonts w:hint="eastAsia" w:ascii="宋体" w:hAnsi="宋体" w:cs="宋体"/>
                <w:color w:val="auto"/>
                <w:sz w:val="24"/>
                <w:highlight w:val="none"/>
              </w:rPr>
            </w:pPr>
          </w:p>
        </w:tc>
        <w:tc>
          <w:tcPr>
            <w:tcW w:w="900" w:type="dxa"/>
            <w:noWrap w:val="0"/>
            <w:vAlign w:val="center"/>
          </w:tcPr>
          <w:p w14:paraId="19C2529D">
            <w:pPr>
              <w:spacing w:line="400" w:lineRule="exact"/>
              <w:rPr>
                <w:rFonts w:hint="eastAsia" w:ascii="宋体" w:hAnsi="宋体" w:cs="宋体"/>
                <w:color w:val="auto"/>
                <w:sz w:val="24"/>
                <w:highlight w:val="none"/>
              </w:rPr>
            </w:pPr>
          </w:p>
        </w:tc>
        <w:tc>
          <w:tcPr>
            <w:tcW w:w="720" w:type="dxa"/>
            <w:noWrap w:val="0"/>
            <w:vAlign w:val="center"/>
          </w:tcPr>
          <w:p w14:paraId="14F6896A">
            <w:pPr>
              <w:spacing w:line="400" w:lineRule="exact"/>
              <w:rPr>
                <w:rFonts w:hint="eastAsia" w:ascii="宋体" w:hAnsi="宋体" w:cs="宋体"/>
                <w:color w:val="auto"/>
                <w:sz w:val="24"/>
                <w:highlight w:val="none"/>
              </w:rPr>
            </w:pPr>
          </w:p>
        </w:tc>
        <w:tc>
          <w:tcPr>
            <w:tcW w:w="1440" w:type="dxa"/>
            <w:noWrap w:val="0"/>
            <w:vAlign w:val="center"/>
          </w:tcPr>
          <w:p w14:paraId="2E91A105">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51366A29">
            <w:pPr>
              <w:spacing w:line="400" w:lineRule="exact"/>
              <w:rPr>
                <w:rFonts w:hint="eastAsia" w:ascii="宋体" w:hAnsi="宋体" w:cs="宋体"/>
                <w:color w:val="auto"/>
                <w:sz w:val="24"/>
                <w:highlight w:val="none"/>
              </w:rPr>
            </w:pPr>
          </w:p>
        </w:tc>
      </w:tr>
      <w:tr w14:paraId="6A68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2886DC74">
            <w:pPr>
              <w:spacing w:line="400" w:lineRule="exact"/>
              <w:rPr>
                <w:rFonts w:hint="eastAsia" w:ascii="宋体" w:hAnsi="宋体" w:cs="宋体"/>
                <w:color w:val="auto"/>
                <w:sz w:val="24"/>
                <w:highlight w:val="none"/>
              </w:rPr>
            </w:pPr>
          </w:p>
        </w:tc>
        <w:tc>
          <w:tcPr>
            <w:tcW w:w="1951" w:type="dxa"/>
            <w:noWrap w:val="0"/>
            <w:vAlign w:val="center"/>
          </w:tcPr>
          <w:p w14:paraId="6A37D803">
            <w:pPr>
              <w:spacing w:line="400" w:lineRule="exact"/>
              <w:rPr>
                <w:rFonts w:hint="eastAsia" w:ascii="宋体" w:hAnsi="宋体" w:cs="宋体"/>
                <w:color w:val="auto"/>
                <w:sz w:val="24"/>
                <w:highlight w:val="none"/>
              </w:rPr>
            </w:pPr>
          </w:p>
        </w:tc>
        <w:tc>
          <w:tcPr>
            <w:tcW w:w="569" w:type="dxa"/>
            <w:noWrap w:val="0"/>
            <w:vAlign w:val="center"/>
          </w:tcPr>
          <w:p w14:paraId="5853EE97">
            <w:pPr>
              <w:spacing w:line="400" w:lineRule="exact"/>
              <w:rPr>
                <w:rFonts w:hint="eastAsia" w:ascii="宋体" w:hAnsi="宋体" w:cs="宋体"/>
                <w:color w:val="auto"/>
                <w:sz w:val="24"/>
                <w:highlight w:val="none"/>
              </w:rPr>
            </w:pPr>
          </w:p>
        </w:tc>
        <w:tc>
          <w:tcPr>
            <w:tcW w:w="540" w:type="dxa"/>
            <w:noWrap w:val="0"/>
            <w:vAlign w:val="center"/>
          </w:tcPr>
          <w:p w14:paraId="67756FC9">
            <w:pPr>
              <w:spacing w:line="400" w:lineRule="exact"/>
              <w:rPr>
                <w:rFonts w:hint="eastAsia" w:ascii="宋体" w:hAnsi="宋体" w:cs="宋体"/>
                <w:color w:val="auto"/>
                <w:sz w:val="24"/>
                <w:highlight w:val="none"/>
              </w:rPr>
            </w:pPr>
          </w:p>
        </w:tc>
        <w:tc>
          <w:tcPr>
            <w:tcW w:w="900" w:type="dxa"/>
            <w:noWrap w:val="0"/>
            <w:vAlign w:val="center"/>
          </w:tcPr>
          <w:p w14:paraId="5A6C677E">
            <w:pPr>
              <w:spacing w:line="400" w:lineRule="exact"/>
              <w:rPr>
                <w:rFonts w:hint="eastAsia" w:ascii="宋体" w:hAnsi="宋体" w:cs="宋体"/>
                <w:color w:val="auto"/>
                <w:sz w:val="24"/>
                <w:highlight w:val="none"/>
              </w:rPr>
            </w:pPr>
          </w:p>
        </w:tc>
        <w:tc>
          <w:tcPr>
            <w:tcW w:w="720" w:type="dxa"/>
            <w:noWrap w:val="0"/>
            <w:vAlign w:val="center"/>
          </w:tcPr>
          <w:p w14:paraId="71E6749A">
            <w:pPr>
              <w:spacing w:line="400" w:lineRule="exact"/>
              <w:rPr>
                <w:rFonts w:hint="eastAsia" w:ascii="宋体" w:hAnsi="宋体" w:cs="宋体"/>
                <w:color w:val="auto"/>
                <w:sz w:val="24"/>
                <w:highlight w:val="none"/>
              </w:rPr>
            </w:pPr>
          </w:p>
        </w:tc>
        <w:tc>
          <w:tcPr>
            <w:tcW w:w="1440" w:type="dxa"/>
            <w:noWrap w:val="0"/>
            <w:vAlign w:val="center"/>
          </w:tcPr>
          <w:p w14:paraId="031951E1">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58D83240">
            <w:pPr>
              <w:spacing w:line="400" w:lineRule="exact"/>
              <w:rPr>
                <w:rFonts w:hint="eastAsia" w:ascii="宋体" w:hAnsi="宋体" w:cs="宋体"/>
                <w:color w:val="auto"/>
                <w:sz w:val="24"/>
                <w:highlight w:val="none"/>
              </w:rPr>
            </w:pPr>
          </w:p>
        </w:tc>
      </w:tr>
      <w:tr w14:paraId="433D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4D80A91C">
            <w:pPr>
              <w:spacing w:line="400" w:lineRule="exact"/>
              <w:rPr>
                <w:rFonts w:hint="eastAsia" w:ascii="宋体" w:hAnsi="宋体" w:cs="宋体"/>
                <w:color w:val="auto"/>
                <w:sz w:val="24"/>
                <w:highlight w:val="none"/>
              </w:rPr>
            </w:pPr>
          </w:p>
        </w:tc>
        <w:tc>
          <w:tcPr>
            <w:tcW w:w="1951" w:type="dxa"/>
            <w:noWrap w:val="0"/>
            <w:vAlign w:val="center"/>
          </w:tcPr>
          <w:p w14:paraId="75353848">
            <w:pPr>
              <w:spacing w:line="400" w:lineRule="exact"/>
              <w:rPr>
                <w:rFonts w:hint="eastAsia" w:ascii="宋体" w:hAnsi="宋体" w:cs="宋体"/>
                <w:color w:val="auto"/>
                <w:sz w:val="24"/>
                <w:highlight w:val="none"/>
              </w:rPr>
            </w:pPr>
          </w:p>
        </w:tc>
        <w:tc>
          <w:tcPr>
            <w:tcW w:w="569" w:type="dxa"/>
            <w:noWrap w:val="0"/>
            <w:vAlign w:val="center"/>
          </w:tcPr>
          <w:p w14:paraId="5406FDCA">
            <w:pPr>
              <w:spacing w:line="400" w:lineRule="exact"/>
              <w:rPr>
                <w:rFonts w:hint="eastAsia" w:ascii="宋体" w:hAnsi="宋体" w:cs="宋体"/>
                <w:color w:val="auto"/>
                <w:sz w:val="24"/>
                <w:highlight w:val="none"/>
              </w:rPr>
            </w:pPr>
          </w:p>
        </w:tc>
        <w:tc>
          <w:tcPr>
            <w:tcW w:w="540" w:type="dxa"/>
            <w:noWrap w:val="0"/>
            <w:vAlign w:val="center"/>
          </w:tcPr>
          <w:p w14:paraId="3A35A29C">
            <w:pPr>
              <w:spacing w:line="400" w:lineRule="exact"/>
              <w:rPr>
                <w:rFonts w:hint="eastAsia" w:ascii="宋体" w:hAnsi="宋体" w:cs="宋体"/>
                <w:color w:val="auto"/>
                <w:sz w:val="24"/>
                <w:highlight w:val="none"/>
              </w:rPr>
            </w:pPr>
          </w:p>
        </w:tc>
        <w:tc>
          <w:tcPr>
            <w:tcW w:w="900" w:type="dxa"/>
            <w:noWrap w:val="0"/>
            <w:vAlign w:val="center"/>
          </w:tcPr>
          <w:p w14:paraId="291EC20B">
            <w:pPr>
              <w:spacing w:line="400" w:lineRule="exact"/>
              <w:rPr>
                <w:rFonts w:hint="eastAsia" w:ascii="宋体" w:hAnsi="宋体" w:cs="宋体"/>
                <w:color w:val="auto"/>
                <w:sz w:val="24"/>
                <w:highlight w:val="none"/>
              </w:rPr>
            </w:pPr>
          </w:p>
        </w:tc>
        <w:tc>
          <w:tcPr>
            <w:tcW w:w="720" w:type="dxa"/>
            <w:noWrap w:val="0"/>
            <w:vAlign w:val="center"/>
          </w:tcPr>
          <w:p w14:paraId="5810E2DC">
            <w:pPr>
              <w:spacing w:line="400" w:lineRule="exact"/>
              <w:rPr>
                <w:rFonts w:hint="eastAsia" w:ascii="宋体" w:hAnsi="宋体" w:cs="宋体"/>
                <w:color w:val="auto"/>
                <w:sz w:val="24"/>
                <w:highlight w:val="none"/>
              </w:rPr>
            </w:pPr>
          </w:p>
        </w:tc>
        <w:tc>
          <w:tcPr>
            <w:tcW w:w="1440" w:type="dxa"/>
            <w:noWrap w:val="0"/>
            <w:vAlign w:val="center"/>
          </w:tcPr>
          <w:p w14:paraId="6AF75CC1">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107C1770">
            <w:pPr>
              <w:spacing w:line="400" w:lineRule="exact"/>
              <w:rPr>
                <w:rFonts w:hint="eastAsia" w:ascii="宋体" w:hAnsi="宋体" w:cs="宋体"/>
                <w:color w:val="auto"/>
                <w:sz w:val="24"/>
                <w:highlight w:val="none"/>
              </w:rPr>
            </w:pPr>
          </w:p>
        </w:tc>
      </w:tr>
      <w:tr w14:paraId="475C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26BD03B5">
            <w:pPr>
              <w:spacing w:line="400" w:lineRule="exact"/>
              <w:rPr>
                <w:rFonts w:hint="eastAsia" w:ascii="宋体" w:hAnsi="宋体" w:cs="宋体"/>
                <w:color w:val="auto"/>
                <w:sz w:val="24"/>
                <w:highlight w:val="none"/>
              </w:rPr>
            </w:pPr>
          </w:p>
        </w:tc>
        <w:tc>
          <w:tcPr>
            <w:tcW w:w="1951" w:type="dxa"/>
            <w:noWrap w:val="0"/>
            <w:vAlign w:val="center"/>
          </w:tcPr>
          <w:p w14:paraId="53E31966">
            <w:pPr>
              <w:spacing w:line="400" w:lineRule="exact"/>
              <w:rPr>
                <w:rFonts w:hint="eastAsia" w:ascii="宋体" w:hAnsi="宋体" w:cs="宋体"/>
                <w:color w:val="auto"/>
                <w:sz w:val="24"/>
                <w:highlight w:val="none"/>
              </w:rPr>
            </w:pPr>
          </w:p>
        </w:tc>
        <w:tc>
          <w:tcPr>
            <w:tcW w:w="569" w:type="dxa"/>
            <w:noWrap w:val="0"/>
            <w:vAlign w:val="center"/>
          </w:tcPr>
          <w:p w14:paraId="0D4219B0">
            <w:pPr>
              <w:spacing w:line="400" w:lineRule="exact"/>
              <w:rPr>
                <w:rFonts w:hint="eastAsia" w:ascii="宋体" w:hAnsi="宋体" w:cs="宋体"/>
                <w:color w:val="auto"/>
                <w:sz w:val="24"/>
                <w:highlight w:val="none"/>
              </w:rPr>
            </w:pPr>
          </w:p>
        </w:tc>
        <w:tc>
          <w:tcPr>
            <w:tcW w:w="540" w:type="dxa"/>
            <w:noWrap w:val="0"/>
            <w:vAlign w:val="center"/>
          </w:tcPr>
          <w:p w14:paraId="5F7C0C78">
            <w:pPr>
              <w:spacing w:line="400" w:lineRule="exact"/>
              <w:rPr>
                <w:rFonts w:hint="eastAsia" w:ascii="宋体" w:hAnsi="宋体" w:cs="宋体"/>
                <w:color w:val="auto"/>
                <w:sz w:val="24"/>
                <w:highlight w:val="none"/>
              </w:rPr>
            </w:pPr>
          </w:p>
        </w:tc>
        <w:tc>
          <w:tcPr>
            <w:tcW w:w="900" w:type="dxa"/>
            <w:noWrap w:val="0"/>
            <w:vAlign w:val="center"/>
          </w:tcPr>
          <w:p w14:paraId="3DADC21D">
            <w:pPr>
              <w:spacing w:line="400" w:lineRule="exact"/>
              <w:rPr>
                <w:rFonts w:hint="eastAsia" w:ascii="宋体" w:hAnsi="宋体" w:cs="宋体"/>
                <w:color w:val="auto"/>
                <w:sz w:val="24"/>
                <w:highlight w:val="none"/>
              </w:rPr>
            </w:pPr>
          </w:p>
        </w:tc>
        <w:tc>
          <w:tcPr>
            <w:tcW w:w="720" w:type="dxa"/>
            <w:noWrap w:val="0"/>
            <w:vAlign w:val="center"/>
          </w:tcPr>
          <w:p w14:paraId="07D78ED0">
            <w:pPr>
              <w:spacing w:line="400" w:lineRule="exact"/>
              <w:rPr>
                <w:rFonts w:hint="eastAsia" w:ascii="宋体" w:hAnsi="宋体" w:cs="宋体"/>
                <w:color w:val="auto"/>
                <w:sz w:val="24"/>
                <w:highlight w:val="none"/>
              </w:rPr>
            </w:pPr>
          </w:p>
        </w:tc>
        <w:tc>
          <w:tcPr>
            <w:tcW w:w="1440" w:type="dxa"/>
            <w:noWrap w:val="0"/>
            <w:vAlign w:val="center"/>
          </w:tcPr>
          <w:p w14:paraId="1A08657A">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618A8F04">
            <w:pPr>
              <w:spacing w:line="400" w:lineRule="exact"/>
              <w:rPr>
                <w:rFonts w:hint="eastAsia" w:ascii="宋体" w:hAnsi="宋体" w:cs="宋体"/>
                <w:color w:val="auto"/>
                <w:sz w:val="24"/>
                <w:highlight w:val="none"/>
              </w:rPr>
            </w:pPr>
          </w:p>
        </w:tc>
      </w:tr>
      <w:tr w14:paraId="2637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36A22DB8">
            <w:pPr>
              <w:spacing w:line="400" w:lineRule="exact"/>
              <w:rPr>
                <w:rFonts w:hint="eastAsia" w:ascii="宋体" w:hAnsi="宋体" w:cs="宋体"/>
                <w:color w:val="auto"/>
                <w:sz w:val="24"/>
                <w:highlight w:val="none"/>
              </w:rPr>
            </w:pPr>
          </w:p>
        </w:tc>
        <w:tc>
          <w:tcPr>
            <w:tcW w:w="1951" w:type="dxa"/>
            <w:noWrap w:val="0"/>
            <w:vAlign w:val="center"/>
          </w:tcPr>
          <w:p w14:paraId="40BE59A8">
            <w:pPr>
              <w:spacing w:line="400" w:lineRule="exact"/>
              <w:rPr>
                <w:rFonts w:hint="eastAsia" w:ascii="宋体" w:hAnsi="宋体" w:cs="宋体"/>
                <w:color w:val="auto"/>
                <w:sz w:val="24"/>
                <w:highlight w:val="none"/>
              </w:rPr>
            </w:pPr>
          </w:p>
        </w:tc>
        <w:tc>
          <w:tcPr>
            <w:tcW w:w="569" w:type="dxa"/>
            <w:noWrap w:val="0"/>
            <w:vAlign w:val="center"/>
          </w:tcPr>
          <w:p w14:paraId="6AD95573">
            <w:pPr>
              <w:spacing w:line="400" w:lineRule="exact"/>
              <w:rPr>
                <w:rFonts w:hint="eastAsia" w:ascii="宋体" w:hAnsi="宋体" w:cs="宋体"/>
                <w:color w:val="auto"/>
                <w:sz w:val="24"/>
                <w:highlight w:val="none"/>
              </w:rPr>
            </w:pPr>
          </w:p>
        </w:tc>
        <w:tc>
          <w:tcPr>
            <w:tcW w:w="540" w:type="dxa"/>
            <w:noWrap w:val="0"/>
            <w:vAlign w:val="center"/>
          </w:tcPr>
          <w:p w14:paraId="7BB9AD88">
            <w:pPr>
              <w:spacing w:line="400" w:lineRule="exact"/>
              <w:rPr>
                <w:rFonts w:hint="eastAsia" w:ascii="宋体" w:hAnsi="宋体" w:cs="宋体"/>
                <w:color w:val="auto"/>
                <w:sz w:val="24"/>
                <w:highlight w:val="none"/>
              </w:rPr>
            </w:pPr>
          </w:p>
        </w:tc>
        <w:tc>
          <w:tcPr>
            <w:tcW w:w="900" w:type="dxa"/>
            <w:noWrap w:val="0"/>
            <w:vAlign w:val="center"/>
          </w:tcPr>
          <w:p w14:paraId="52E68888">
            <w:pPr>
              <w:spacing w:line="400" w:lineRule="exact"/>
              <w:rPr>
                <w:rFonts w:hint="eastAsia" w:ascii="宋体" w:hAnsi="宋体" w:cs="宋体"/>
                <w:color w:val="auto"/>
                <w:sz w:val="24"/>
                <w:highlight w:val="none"/>
              </w:rPr>
            </w:pPr>
          </w:p>
        </w:tc>
        <w:tc>
          <w:tcPr>
            <w:tcW w:w="720" w:type="dxa"/>
            <w:noWrap w:val="0"/>
            <w:vAlign w:val="center"/>
          </w:tcPr>
          <w:p w14:paraId="3672561D">
            <w:pPr>
              <w:spacing w:line="400" w:lineRule="exact"/>
              <w:rPr>
                <w:rFonts w:hint="eastAsia" w:ascii="宋体" w:hAnsi="宋体" w:cs="宋体"/>
                <w:color w:val="auto"/>
                <w:sz w:val="24"/>
                <w:highlight w:val="none"/>
              </w:rPr>
            </w:pPr>
          </w:p>
        </w:tc>
        <w:tc>
          <w:tcPr>
            <w:tcW w:w="1440" w:type="dxa"/>
            <w:noWrap w:val="0"/>
            <w:vAlign w:val="center"/>
          </w:tcPr>
          <w:p w14:paraId="70B3DA7F">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1E4F5596">
            <w:pPr>
              <w:spacing w:line="400" w:lineRule="exact"/>
              <w:rPr>
                <w:rFonts w:hint="eastAsia" w:ascii="宋体" w:hAnsi="宋体" w:cs="宋体"/>
                <w:color w:val="auto"/>
                <w:sz w:val="24"/>
                <w:highlight w:val="none"/>
              </w:rPr>
            </w:pPr>
          </w:p>
        </w:tc>
      </w:tr>
      <w:tr w14:paraId="0950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645B504F">
            <w:pPr>
              <w:spacing w:line="400" w:lineRule="exact"/>
              <w:rPr>
                <w:rFonts w:hint="eastAsia" w:ascii="宋体" w:hAnsi="宋体" w:cs="宋体"/>
                <w:color w:val="auto"/>
                <w:sz w:val="24"/>
                <w:highlight w:val="none"/>
              </w:rPr>
            </w:pPr>
          </w:p>
        </w:tc>
        <w:tc>
          <w:tcPr>
            <w:tcW w:w="1951" w:type="dxa"/>
            <w:noWrap w:val="0"/>
            <w:vAlign w:val="center"/>
          </w:tcPr>
          <w:p w14:paraId="61421F51">
            <w:pPr>
              <w:spacing w:line="400" w:lineRule="exact"/>
              <w:rPr>
                <w:rFonts w:hint="eastAsia" w:ascii="宋体" w:hAnsi="宋体" w:cs="宋体"/>
                <w:color w:val="auto"/>
                <w:sz w:val="24"/>
                <w:highlight w:val="none"/>
              </w:rPr>
            </w:pPr>
          </w:p>
        </w:tc>
        <w:tc>
          <w:tcPr>
            <w:tcW w:w="569" w:type="dxa"/>
            <w:noWrap w:val="0"/>
            <w:vAlign w:val="center"/>
          </w:tcPr>
          <w:p w14:paraId="10EC9982">
            <w:pPr>
              <w:spacing w:line="400" w:lineRule="exact"/>
              <w:rPr>
                <w:rFonts w:hint="eastAsia" w:ascii="宋体" w:hAnsi="宋体" w:cs="宋体"/>
                <w:color w:val="auto"/>
                <w:sz w:val="24"/>
                <w:highlight w:val="none"/>
              </w:rPr>
            </w:pPr>
          </w:p>
        </w:tc>
        <w:tc>
          <w:tcPr>
            <w:tcW w:w="540" w:type="dxa"/>
            <w:noWrap w:val="0"/>
            <w:vAlign w:val="center"/>
          </w:tcPr>
          <w:p w14:paraId="2EC6E039">
            <w:pPr>
              <w:spacing w:line="400" w:lineRule="exact"/>
              <w:rPr>
                <w:rFonts w:hint="eastAsia" w:ascii="宋体" w:hAnsi="宋体" w:cs="宋体"/>
                <w:color w:val="auto"/>
                <w:sz w:val="24"/>
                <w:highlight w:val="none"/>
              </w:rPr>
            </w:pPr>
          </w:p>
        </w:tc>
        <w:tc>
          <w:tcPr>
            <w:tcW w:w="900" w:type="dxa"/>
            <w:noWrap w:val="0"/>
            <w:vAlign w:val="center"/>
          </w:tcPr>
          <w:p w14:paraId="0F1C673E">
            <w:pPr>
              <w:spacing w:line="400" w:lineRule="exact"/>
              <w:rPr>
                <w:rFonts w:hint="eastAsia" w:ascii="宋体" w:hAnsi="宋体" w:cs="宋体"/>
                <w:color w:val="auto"/>
                <w:sz w:val="24"/>
                <w:highlight w:val="none"/>
              </w:rPr>
            </w:pPr>
          </w:p>
        </w:tc>
        <w:tc>
          <w:tcPr>
            <w:tcW w:w="720" w:type="dxa"/>
            <w:noWrap w:val="0"/>
            <w:vAlign w:val="center"/>
          </w:tcPr>
          <w:p w14:paraId="12B8F266">
            <w:pPr>
              <w:spacing w:line="400" w:lineRule="exact"/>
              <w:rPr>
                <w:rFonts w:hint="eastAsia" w:ascii="宋体" w:hAnsi="宋体" w:cs="宋体"/>
                <w:color w:val="auto"/>
                <w:sz w:val="24"/>
                <w:highlight w:val="none"/>
              </w:rPr>
            </w:pPr>
          </w:p>
        </w:tc>
        <w:tc>
          <w:tcPr>
            <w:tcW w:w="1440" w:type="dxa"/>
            <w:noWrap w:val="0"/>
            <w:vAlign w:val="center"/>
          </w:tcPr>
          <w:p w14:paraId="4B985469">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5881020A">
            <w:pPr>
              <w:spacing w:line="400" w:lineRule="exact"/>
              <w:rPr>
                <w:rFonts w:hint="eastAsia" w:ascii="宋体" w:hAnsi="宋体" w:cs="宋体"/>
                <w:color w:val="auto"/>
                <w:sz w:val="24"/>
                <w:highlight w:val="none"/>
              </w:rPr>
            </w:pPr>
          </w:p>
        </w:tc>
      </w:tr>
      <w:tr w14:paraId="76B4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03F2E982">
            <w:pPr>
              <w:spacing w:line="400" w:lineRule="exact"/>
              <w:rPr>
                <w:rFonts w:hint="eastAsia" w:ascii="宋体" w:hAnsi="宋体" w:cs="宋体"/>
                <w:color w:val="auto"/>
                <w:sz w:val="24"/>
                <w:highlight w:val="none"/>
              </w:rPr>
            </w:pPr>
          </w:p>
        </w:tc>
        <w:tc>
          <w:tcPr>
            <w:tcW w:w="1951" w:type="dxa"/>
            <w:noWrap w:val="0"/>
            <w:vAlign w:val="center"/>
          </w:tcPr>
          <w:p w14:paraId="605F77D5">
            <w:pPr>
              <w:spacing w:line="400" w:lineRule="exact"/>
              <w:rPr>
                <w:rFonts w:hint="eastAsia" w:ascii="宋体" w:hAnsi="宋体" w:cs="宋体"/>
                <w:color w:val="auto"/>
                <w:sz w:val="24"/>
                <w:highlight w:val="none"/>
              </w:rPr>
            </w:pPr>
          </w:p>
        </w:tc>
        <w:tc>
          <w:tcPr>
            <w:tcW w:w="569" w:type="dxa"/>
            <w:noWrap w:val="0"/>
            <w:vAlign w:val="center"/>
          </w:tcPr>
          <w:p w14:paraId="609C0364">
            <w:pPr>
              <w:spacing w:line="400" w:lineRule="exact"/>
              <w:rPr>
                <w:rFonts w:hint="eastAsia" w:ascii="宋体" w:hAnsi="宋体" w:cs="宋体"/>
                <w:color w:val="auto"/>
                <w:sz w:val="24"/>
                <w:highlight w:val="none"/>
              </w:rPr>
            </w:pPr>
          </w:p>
        </w:tc>
        <w:tc>
          <w:tcPr>
            <w:tcW w:w="540" w:type="dxa"/>
            <w:noWrap w:val="0"/>
            <w:vAlign w:val="center"/>
          </w:tcPr>
          <w:p w14:paraId="4CD7F0AB">
            <w:pPr>
              <w:spacing w:line="400" w:lineRule="exact"/>
              <w:rPr>
                <w:rFonts w:hint="eastAsia" w:ascii="宋体" w:hAnsi="宋体" w:cs="宋体"/>
                <w:color w:val="auto"/>
                <w:sz w:val="24"/>
                <w:highlight w:val="none"/>
              </w:rPr>
            </w:pPr>
          </w:p>
        </w:tc>
        <w:tc>
          <w:tcPr>
            <w:tcW w:w="900" w:type="dxa"/>
            <w:noWrap w:val="0"/>
            <w:vAlign w:val="center"/>
          </w:tcPr>
          <w:p w14:paraId="5CF42A72">
            <w:pPr>
              <w:spacing w:line="400" w:lineRule="exact"/>
              <w:rPr>
                <w:rFonts w:hint="eastAsia" w:ascii="宋体" w:hAnsi="宋体" w:cs="宋体"/>
                <w:color w:val="auto"/>
                <w:sz w:val="24"/>
                <w:highlight w:val="none"/>
              </w:rPr>
            </w:pPr>
          </w:p>
        </w:tc>
        <w:tc>
          <w:tcPr>
            <w:tcW w:w="720" w:type="dxa"/>
            <w:noWrap w:val="0"/>
            <w:vAlign w:val="center"/>
          </w:tcPr>
          <w:p w14:paraId="047DC2AC">
            <w:pPr>
              <w:spacing w:line="400" w:lineRule="exact"/>
              <w:rPr>
                <w:rFonts w:hint="eastAsia" w:ascii="宋体" w:hAnsi="宋体" w:cs="宋体"/>
                <w:color w:val="auto"/>
                <w:sz w:val="24"/>
                <w:highlight w:val="none"/>
              </w:rPr>
            </w:pPr>
          </w:p>
        </w:tc>
        <w:tc>
          <w:tcPr>
            <w:tcW w:w="1440" w:type="dxa"/>
            <w:noWrap w:val="0"/>
            <w:vAlign w:val="center"/>
          </w:tcPr>
          <w:p w14:paraId="20FD9AB6">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1AC3A735">
            <w:pPr>
              <w:spacing w:line="400" w:lineRule="exact"/>
              <w:rPr>
                <w:rFonts w:hint="eastAsia" w:ascii="宋体" w:hAnsi="宋体" w:cs="宋体"/>
                <w:color w:val="auto"/>
                <w:sz w:val="24"/>
                <w:highlight w:val="none"/>
              </w:rPr>
            </w:pPr>
          </w:p>
        </w:tc>
      </w:tr>
      <w:tr w14:paraId="538E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2923D1CF">
            <w:pPr>
              <w:spacing w:line="400" w:lineRule="exact"/>
              <w:rPr>
                <w:rFonts w:hint="eastAsia" w:ascii="宋体" w:hAnsi="宋体" w:cs="宋体"/>
                <w:color w:val="auto"/>
                <w:sz w:val="24"/>
                <w:highlight w:val="none"/>
              </w:rPr>
            </w:pPr>
          </w:p>
        </w:tc>
        <w:tc>
          <w:tcPr>
            <w:tcW w:w="1951" w:type="dxa"/>
            <w:noWrap w:val="0"/>
            <w:vAlign w:val="center"/>
          </w:tcPr>
          <w:p w14:paraId="7440B016">
            <w:pPr>
              <w:spacing w:line="400" w:lineRule="exact"/>
              <w:rPr>
                <w:rFonts w:hint="eastAsia" w:ascii="宋体" w:hAnsi="宋体" w:cs="宋体"/>
                <w:color w:val="auto"/>
                <w:sz w:val="24"/>
                <w:highlight w:val="none"/>
              </w:rPr>
            </w:pPr>
          </w:p>
        </w:tc>
        <w:tc>
          <w:tcPr>
            <w:tcW w:w="569" w:type="dxa"/>
            <w:noWrap w:val="0"/>
            <w:vAlign w:val="center"/>
          </w:tcPr>
          <w:p w14:paraId="6D6C5EB2">
            <w:pPr>
              <w:spacing w:line="400" w:lineRule="exact"/>
              <w:rPr>
                <w:rFonts w:hint="eastAsia" w:ascii="宋体" w:hAnsi="宋体" w:cs="宋体"/>
                <w:color w:val="auto"/>
                <w:sz w:val="24"/>
                <w:highlight w:val="none"/>
              </w:rPr>
            </w:pPr>
          </w:p>
        </w:tc>
        <w:tc>
          <w:tcPr>
            <w:tcW w:w="540" w:type="dxa"/>
            <w:noWrap w:val="0"/>
            <w:vAlign w:val="center"/>
          </w:tcPr>
          <w:p w14:paraId="74BA9D24">
            <w:pPr>
              <w:spacing w:line="400" w:lineRule="exact"/>
              <w:rPr>
                <w:rFonts w:hint="eastAsia" w:ascii="宋体" w:hAnsi="宋体" w:cs="宋体"/>
                <w:color w:val="auto"/>
                <w:sz w:val="24"/>
                <w:highlight w:val="none"/>
              </w:rPr>
            </w:pPr>
          </w:p>
        </w:tc>
        <w:tc>
          <w:tcPr>
            <w:tcW w:w="900" w:type="dxa"/>
            <w:noWrap w:val="0"/>
            <w:vAlign w:val="center"/>
          </w:tcPr>
          <w:p w14:paraId="27475618">
            <w:pPr>
              <w:spacing w:line="400" w:lineRule="exact"/>
              <w:rPr>
                <w:rFonts w:hint="eastAsia" w:ascii="宋体" w:hAnsi="宋体" w:cs="宋体"/>
                <w:color w:val="auto"/>
                <w:sz w:val="24"/>
                <w:highlight w:val="none"/>
              </w:rPr>
            </w:pPr>
          </w:p>
        </w:tc>
        <w:tc>
          <w:tcPr>
            <w:tcW w:w="720" w:type="dxa"/>
            <w:noWrap w:val="0"/>
            <w:vAlign w:val="center"/>
          </w:tcPr>
          <w:p w14:paraId="0E3A6C1E">
            <w:pPr>
              <w:spacing w:line="400" w:lineRule="exact"/>
              <w:rPr>
                <w:rFonts w:hint="eastAsia" w:ascii="宋体" w:hAnsi="宋体" w:cs="宋体"/>
                <w:color w:val="auto"/>
                <w:sz w:val="24"/>
                <w:highlight w:val="none"/>
              </w:rPr>
            </w:pPr>
          </w:p>
        </w:tc>
        <w:tc>
          <w:tcPr>
            <w:tcW w:w="1440" w:type="dxa"/>
            <w:noWrap w:val="0"/>
            <w:vAlign w:val="center"/>
          </w:tcPr>
          <w:p w14:paraId="2EA17D08">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788B7157">
            <w:pPr>
              <w:spacing w:line="400" w:lineRule="exact"/>
              <w:rPr>
                <w:rFonts w:hint="eastAsia" w:ascii="宋体" w:hAnsi="宋体" w:cs="宋体"/>
                <w:color w:val="auto"/>
                <w:sz w:val="24"/>
                <w:highlight w:val="none"/>
              </w:rPr>
            </w:pPr>
          </w:p>
        </w:tc>
      </w:tr>
      <w:tr w14:paraId="3B1F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01CD2CB8">
            <w:pPr>
              <w:spacing w:line="400" w:lineRule="exact"/>
              <w:rPr>
                <w:rFonts w:hint="eastAsia" w:ascii="宋体" w:hAnsi="宋体" w:cs="宋体"/>
                <w:color w:val="auto"/>
                <w:sz w:val="24"/>
                <w:highlight w:val="none"/>
              </w:rPr>
            </w:pPr>
          </w:p>
        </w:tc>
        <w:tc>
          <w:tcPr>
            <w:tcW w:w="1951" w:type="dxa"/>
            <w:noWrap w:val="0"/>
            <w:vAlign w:val="center"/>
          </w:tcPr>
          <w:p w14:paraId="593EE0B1">
            <w:pPr>
              <w:spacing w:line="400" w:lineRule="exact"/>
              <w:rPr>
                <w:rFonts w:hint="eastAsia" w:ascii="宋体" w:hAnsi="宋体" w:cs="宋体"/>
                <w:color w:val="auto"/>
                <w:sz w:val="24"/>
                <w:highlight w:val="none"/>
              </w:rPr>
            </w:pPr>
          </w:p>
        </w:tc>
        <w:tc>
          <w:tcPr>
            <w:tcW w:w="569" w:type="dxa"/>
            <w:noWrap w:val="0"/>
            <w:vAlign w:val="center"/>
          </w:tcPr>
          <w:p w14:paraId="0EBAFCB3">
            <w:pPr>
              <w:spacing w:line="400" w:lineRule="exact"/>
              <w:rPr>
                <w:rFonts w:hint="eastAsia" w:ascii="宋体" w:hAnsi="宋体" w:cs="宋体"/>
                <w:color w:val="auto"/>
                <w:sz w:val="24"/>
                <w:highlight w:val="none"/>
              </w:rPr>
            </w:pPr>
          </w:p>
        </w:tc>
        <w:tc>
          <w:tcPr>
            <w:tcW w:w="540" w:type="dxa"/>
            <w:noWrap w:val="0"/>
            <w:vAlign w:val="center"/>
          </w:tcPr>
          <w:p w14:paraId="34C44796">
            <w:pPr>
              <w:spacing w:line="400" w:lineRule="exact"/>
              <w:rPr>
                <w:rFonts w:hint="eastAsia" w:ascii="宋体" w:hAnsi="宋体" w:cs="宋体"/>
                <w:color w:val="auto"/>
                <w:sz w:val="24"/>
                <w:highlight w:val="none"/>
              </w:rPr>
            </w:pPr>
          </w:p>
        </w:tc>
        <w:tc>
          <w:tcPr>
            <w:tcW w:w="900" w:type="dxa"/>
            <w:noWrap w:val="0"/>
            <w:vAlign w:val="center"/>
          </w:tcPr>
          <w:p w14:paraId="608FEBC1">
            <w:pPr>
              <w:spacing w:line="400" w:lineRule="exact"/>
              <w:rPr>
                <w:rFonts w:hint="eastAsia" w:ascii="宋体" w:hAnsi="宋体" w:cs="宋体"/>
                <w:color w:val="auto"/>
                <w:sz w:val="24"/>
                <w:highlight w:val="none"/>
              </w:rPr>
            </w:pPr>
          </w:p>
        </w:tc>
        <w:tc>
          <w:tcPr>
            <w:tcW w:w="720" w:type="dxa"/>
            <w:noWrap w:val="0"/>
            <w:vAlign w:val="center"/>
          </w:tcPr>
          <w:p w14:paraId="7BC2B9F6">
            <w:pPr>
              <w:spacing w:line="400" w:lineRule="exact"/>
              <w:rPr>
                <w:rFonts w:hint="eastAsia" w:ascii="宋体" w:hAnsi="宋体" w:cs="宋体"/>
                <w:color w:val="auto"/>
                <w:sz w:val="24"/>
                <w:highlight w:val="none"/>
              </w:rPr>
            </w:pPr>
          </w:p>
        </w:tc>
        <w:tc>
          <w:tcPr>
            <w:tcW w:w="1440" w:type="dxa"/>
            <w:noWrap w:val="0"/>
            <w:vAlign w:val="center"/>
          </w:tcPr>
          <w:p w14:paraId="101A248C">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40D61501">
            <w:pPr>
              <w:spacing w:line="400" w:lineRule="exact"/>
              <w:rPr>
                <w:rFonts w:hint="eastAsia" w:ascii="宋体" w:hAnsi="宋体" w:cs="宋体"/>
                <w:color w:val="auto"/>
                <w:sz w:val="24"/>
                <w:highlight w:val="none"/>
              </w:rPr>
            </w:pPr>
          </w:p>
        </w:tc>
      </w:tr>
      <w:tr w14:paraId="703B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039064F0">
            <w:pPr>
              <w:spacing w:line="400" w:lineRule="exact"/>
              <w:rPr>
                <w:rFonts w:hint="eastAsia" w:ascii="宋体" w:hAnsi="宋体" w:cs="宋体"/>
                <w:color w:val="auto"/>
                <w:sz w:val="24"/>
                <w:highlight w:val="none"/>
              </w:rPr>
            </w:pPr>
          </w:p>
        </w:tc>
        <w:tc>
          <w:tcPr>
            <w:tcW w:w="1951" w:type="dxa"/>
            <w:noWrap w:val="0"/>
            <w:vAlign w:val="center"/>
          </w:tcPr>
          <w:p w14:paraId="432F3B6D">
            <w:pPr>
              <w:spacing w:line="400" w:lineRule="exact"/>
              <w:rPr>
                <w:rFonts w:hint="eastAsia" w:ascii="宋体" w:hAnsi="宋体" w:cs="宋体"/>
                <w:color w:val="auto"/>
                <w:sz w:val="24"/>
                <w:highlight w:val="none"/>
              </w:rPr>
            </w:pPr>
          </w:p>
        </w:tc>
        <w:tc>
          <w:tcPr>
            <w:tcW w:w="569" w:type="dxa"/>
            <w:noWrap w:val="0"/>
            <w:vAlign w:val="center"/>
          </w:tcPr>
          <w:p w14:paraId="53B6BFB3">
            <w:pPr>
              <w:spacing w:line="400" w:lineRule="exact"/>
              <w:rPr>
                <w:rFonts w:hint="eastAsia" w:ascii="宋体" w:hAnsi="宋体" w:cs="宋体"/>
                <w:color w:val="auto"/>
                <w:sz w:val="24"/>
                <w:highlight w:val="none"/>
              </w:rPr>
            </w:pPr>
          </w:p>
        </w:tc>
        <w:tc>
          <w:tcPr>
            <w:tcW w:w="540" w:type="dxa"/>
            <w:noWrap w:val="0"/>
            <w:vAlign w:val="center"/>
          </w:tcPr>
          <w:p w14:paraId="2C0DEE11">
            <w:pPr>
              <w:spacing w:line="400" w:lineRule="exact"/>
              <w:rPr>
                <w:rFonts w:hint="eastAsia" w:ascii="宋体" w:hAnsi="宋体" w:cs="宋体"/>
                <w:color w:val="auto"/>
                <w:sz w:val="24"/>
                <w:highlight w:val="none"/>
              </w:rPr>
            </w:pPr>
          </w:p>
        </w:tc>
        <w:tc>
          <w:tcPr>
            <w:tcW w:w="900" w:type="dxa"/>
            <w:noWrap w:val="0"/>
            <w:vAlign w:val="center"/>
          </w:tcPr>
          <w:p w14:paraId="314A932C">
            <w:pPr>
              <w:spacing w:line="400" w:lineRule="exact"/>
              <w:rPr>
                <w:rFonts w:hint="eastAsia" w:ascii="宋体" w:hAnsi="宋体" w:cs="宋体"/>
                <w:color w:val="auto"/>
                <w:sz w:val="24"/>
                <w:highlight w:val="none"/>
              </w:rPr>
            </w:pPr>
          </w:p>
        </w:tc>
        <w:tc>
          <w:tcPr>
            <w:tcW w:w="720" w:type="dxa"/>
            <w:noWrap w:val="0"/>
            <w:vAlign w:val="center"/>
          </w:tcPr>
          <w:p w14:paraId="05F94C1F">
            <w:pPr>
              <w:spacing w:line="400" w:lineRule="exact"/>
              <w:rPr>
                <w:rFonts w:hint="eastAsia" w:ascii="宋体" w:hAnsi="宋体" w:cs="宋体"/>
                <w:color w:val="auto"/>
                <w:sz w:val="24"/>
                <w:highlight w:val="none"/>
              </w:rPr>
            </w:pPr>
          </w:p>
        </w:tc>
        <w:tc>
          <w:tcPr>
            <w:tcW w:w="1440" w:type="dxa"/>
            <w:noWrap w:val="0"/>
            <w:vAlign w:val="center"/>
          </w:tcPr>
          <w:p w14:paraId="0498331C">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6B7FBC4C">
            <w:pPr>
              <w:spacing w:line="400" w:lineRule="exact"/>
              <w:rPr>
                <w:rFonts w:hint="eastAsia" w:ascii="宋体" w:hAnsi="宋体" w:cs="宋体"/>
                <w:color w:val="auto"/>
                <w:sz w:val="24"/>
                <w:highlight w:val="none"/>
              </w:rPr>
            </w:pPr>
          </w:p>
        </w:tc>
      </w:tr>
      <w:tr w14:paraId="41E2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5E100397">
            <w:pPr>
              <w:spacing w:line="400" w:lineRule="exact"/>
              <w:rPr>
                <w:rFonts w:hint="eastAsia" w:ascii="宋体" w:hAnsi="宋体" w:cs="宋体"/>
                <w:color w:val="auto"/>
                <w:sz w:val="24"/>
                <w:highlight w:val="none"/>
              </w:rPr>
            </w:pPr>
          </w:p>
        </w:tc>
        <w:tc>
          <w:tcPr>
            <w:tcW w:w="1951" w:type="dxa"/>
            <w:noWrap w:val="0"/>
            <w:vAlign w:val="center"/>
          </w:tcPr>
          <w:p w14:paraId="58821095">
            <w:pPr>
              <w:spacing w:line="400" w:lineRule="exact"/>
              <w:rPr>
                <w:rFonts w:hint="eastAsia" w:ascii="宋体" w:hAnsi="宋体" w:cs="宋体"/>
                <w:color w:val="auto"/>
                <w:sz w:val="24"/>
                <w:highlight w:val="none"/>
              </w:rPr>
            </w:pPr>
          </w:p>
        </w:tc>
        <w:tc>
          <w:tcPr>
            <w:tcW w:w="569" w:type="dxa"/>
            <w:noWrap w:val="0"/>
            <w:vAlign w:val="center"/>
          </w:tcPr>
          <w:p w14:paraId="5A9DFF9E">
            <w:pPr>
              <w:spacing w:line="400" w:lineRule="exact"/>
              <w:rPr>
                <w:rFonts w:hint="eastAsia" w:ascii="宋体" w:hAnsi="宋体" w:cs="宋体"/>
                <w:color w:val="auto"/>
                <w:sz w:val="24"/>
                <w:highlight w:val="none"/>
              </w:rPr>
            </w:pPr>
          </w:p>
        </w:tc>
        <w:tc>
          <w:tcPr>
            <w:tcW w:w="540" w:type="dxa"/>
            <w:noWrap w:val="0"/>
            <w:vAlign w:val="center"/>
          </w:tcPr>
          <w:p w14:paraId="5B74568F">
            <w:pPr>
              <w:spacing w:line="400" w:lineRule="exact"/>
              <w:rPr>
                <w:rFonts w:hint="eastAsia" w:ascii="宋体" w:hAnsi="宋体" w:cs="宋体"/>
                <w:color w:val="auto"/>
                <w:sz w:val="24"/>
                <w:highlight w:val="none"/>
              </w:rPr>
            </w:pPr>
          </w:p>
        </w:tc>
        <w:tc>
          <w:tcPr>
            <w:tcW w:w="900" w:type="dxa"/>
            <w:noWrap w:val="0"/>
            <w:vAlign w:val="center"/>
          </w:tcPr>
          <w:p w14:paraId="36D36CF4">
            <w:pPr>
              <w:spacing w:line="400" w:lineRule="exact"/>
              <w:rPr>
                <w:rFonts w:hint="eastAsia" w:ascii="宋体" w:hAnsi="宋体" w:cs="宋体"/>
                <w:color w:val="auto"/>
                <w:sz w:val="24"/>
                <w:highlight w:val="none"/>
              </w:rPr>
            </w:pPr>
          </w:p>
        </w:tc>
        <w:tc>
          <w:tcPr>
            <w:tcW w:w="720" w:type="dxa"/>
            <w:noWrap w:val="0"/>
            <w:vAlign w:val="center"/>
          </w:tcPr>
          <w:p w14:paraId="5B91F6C3">
            <w:pPr>
              <w:spacing w:line="400" w:lineRule="exact"/>
              <w:rPr>
                <w:rFonts w:hint="eastAsia" w:ascii="宋体" w:hAnsi="宋体" w:cs="宋体"/>
                <w:color w:val="auto"/>
                <w:sz w:val="24"/>
                <w:highlight w:val="none"/>
              </w:rPr>
            </w:pPr>
          </w:p>
        </w:tc>
        <w:tc>
          <w:tcPr>
            <w:tcW w:w="1440" w:type="dxa"/>
            <w:noWrap w:val="0"/>
            <w:vAlign w:val="center"/>
          </w:tcPr>
          <w:p w14:paraId="41D6D7DB">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49F4C16C">
            <w:pPr>
              <w:spacing w:line="400" w:lineRule="exact"/>
              <w:rPr>
                <w:rFonts w:hint="eastAsia" w:ascii="宋体" w:hAnsi="宋体" w:cs="宋体"/>
                <w:color w:val="auto"/>
                <w:sz w:val="24"/>
                <w:highlight w:val="none"/>
              </w:rPr>
            </w:pPr>
          </w:p>
        </w:tc>
      </w:tr>
      <w:tr w14:paraId="1F55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21D17B13">
            <w:pPr>
              <w:spacing w:line="400" w:lineRule="exact"/>
              <w:rPr>
                <w:rFonts w:hint="eastAsia" w:ascii="宋体" w:hAnsi="宋体" w:cs="宋体"/>
                <w:color w:val="auto"/>
                <w:sz w:val="24"/>
                <w:highlight w:val="none"/>
              </w:rPr>
            </w:pPr>
          </w:p>
        </w:tc>
        <w:tc>
          <w:tcPr>
            <w:tcW w:w="1951" w:type="dxa"/>
            <w:noWrap w:val="0"/>
            <w:vAlign w:val="center"/>
          </w:tcPr>
          <w:p w14:paraId="3071CCAC">
            <w:pPr>
              <w:spacing w:line="400" w:lineRule="exact"/>
              <w:rPr>
                <w:rFonts w:hint="eastAsia" w:ascii="宋体" w:hAnsi="宋体" w:cs="宋体"/>
                <w:color w:val="auto"/>
                <w:sz w:val="24"/>
                <w:highlight w:val="none"/>
              </w:rPr>
            </w:pPr>
          </w:p>
        </w:tc>
        <w:tc>
          <w:tcPr>
            <w:tcW w:w="569" w:type="dxa"/>
            <w:noWrap w:val="0"/>
            <w:vAlign w:val="center"/>
          </w:tcPr>
          <w:p w14:paraId="1AF6A098">
            <w:pPr>
              <w:spacing w:line="400" w:lineRule="exact"/>
              <w:rPr>
                <w:rFonts w:hint="eastAsia" w:ascii="宋体" w:hAnsi="宋体" w:cs="宋体"/>
                <w:color w:val="auto"/>
                <w:sz w:val="24"/>
                <w:highlight w:val="none"/>
              </w:rPr>
            </w:pPr>
          </w:p>
        </w:tc>
        <w:tc>
          <w:tcPr>
            <w:tcW w:w="540" w:type="dxa"/>
            <w:noWrap w:val="0"/>
            <w:vAlign w:val="center"/>
          </w:tcPr>
          <w:p w14:paraId="57D1DF16">
            <w:pPr>
              <w:spacing w:line="400" w:lineRule="exact"/>
              <w:rPr>
                <w:rFonts w:hint="eastAsia" w:ascii="宋体" w:hAnsi="宋体" w:cs="宋体"/>
                <w:color w:val="auto"/>
                <w:sz w:val="24"/>
                <w:highlight w:val="none"/>
              </w:rPr>
            </w:pPr>
          </w:p>
        </w:tc>
        <w:tc>
          <w:tcPr>
            <w:tcW w:w="900" w:type="dxa"/>
            <w:noWrap w:val="0"/>
            <w:vAlign w:val="center"/>
          </w:tcPr>
          <w:p w14:paraId="2A112B03">
            <w:pPr>
              <w:spacing w:line="400" w:lineRule="exact"/>
              <w:rPr>
                <w:rFonts w:hint="eastAsia" w:ascii="宋体" w:hAnsi="宋体" w:cs="宋体"/>
                <w:color w:val="auto"/>
                <w:sz w:val="24"/>
                <w:highlight w:val="none"/>
              </w:rPr>
            </w:pPr>
          </w:p>
        </w:tc>
        <w:tc>
          <w:tcPr>
            <w:tcW w:w="720" w:type="dxa"/>
            <w:noWrap w:val="0"/>
            <w:vAlign w:val="center"/>
          </w:tcPr>
          <w:p w14:paraId="702BEC17">
            <w:pPr>
              <w:spacing w:line="400" w:lineRule="exact"/>
              <w:rPr>
                <w:rFonts w:hint="eastAsia" w:ascii="宋体" w:hAnsi="宋体" w:cs="宋体"/>
                <w:color w:val="auto"/>
                <w:sz w:val="24"/>
                <w:highlight w:val="none"/>
              </w:rPr>
            </w:pPr>
          </w:p>
        </w:tc>
        <w:tc>
          <w:tcPr>
            <w:tcW w:w="1440" w:type="dxa"/>
            <w:noWrap w:val="0"/>
            <w:vAlign w:val="center"/>
          </w:tcPr>
          <w:p w14:paraId="59FDD0F2">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1FB57E84">
            <w:pPr>
              <w:spacing w:line="400" w:lineRule="exact"/>
              <w:rPr>
                <w:rFonts w:hint="eastAsia" w:ascii="宋体" w:hAnsi="宋体" w:cs="宋体"/>
                <w:color w:val="auto"/>
                <w:sz w:val="24"/>
                <w:highlight w:val="none"/>
              </w:rPr>
            </w:pPr>
          </w:p>
        </w:tc>
      </w:tr>
      <w:tr w14:paraId="69EA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5C99BD82">
            <w:pPr>
              <w:spacing w:line="400" w:lineRule="exact"/>
              <w:rPr>
                <w:rFonts w:hint="eastAsia" w:ascii="宋体" w:hAnsi="宋体" w:cs="宋体"/>
                <w:color w:val="auto"/>
                <w:sz w:val="24"/>
                <w:highlight w:val="none"/>
              </w:rPr>
            </w:pPr>
          </w:p>
        </w:tc>
        <w:tc>
          <w:tcPr>
            <w:tcW w:w="1951" w:type="dxa"/>
            <w:noWrap w:val="0"/>
            <w:vAlign w:val="center"/>
          </w:tcPr>
          <w:p w14:paraId="61AB3B16">
            <w:pPr>
              <w:spacing w:line="400" w:lineRule="exact"/>
              <w:rPr>
                <w:rFonts w:hint="eastAsia" w:ascii="宋体" w:hAnsi="宋体" w:cs="宋体"/>
                <w:color w:val="auto"/>
                <w:sz w:val="24"/>
                <w:highlight w:val="none"/>
              </w:rPr>
            </w:pPr>
          </w:p>
        </w:tc>
        <w:tc>
          <w:tcPr>
            <w:tcW w:w="569" w:type="dxa"/>
            <w:noWrap w:val="0"/>
            <w:vAlign w:val="center"/>
          </w:tcPr>
          <w:p w14:paraId="6B71A4DF">
            <w:pPr>
              <w:spacing w:line="400" w:lineRule="exact"/>
              <w:rPr>
                <w:rFonts w:hint="eastAsia" w:ascii="宋体" w:hAnsi="宋体" w:cs="宋体"/>
                <w:color w:val="auto"/>
                <w:sz w:val="24"/>
                <w:highlight w:val="none"/>
              </w:rPr>
            </w:pPr>
          </w:p>
        </w:tc>
        <w:tc>
          <w:tcPr>
            <w:tcW w:w="540" w:type="dxa"/>
            <w:noWrap w:val="0"/>
            <w:vAlign w:val="center"/>
          </w:tcPr>
          <w:p w14:paraId="6FA491DB">
            <w:pPr>
              <w:spacing w:line="400" w:lineRule="exact"/>
              <w:rPr>
                <w:rFonts w:hint="eastAsia" w:ascii="宋体" w:hAnsi="宋体" w:cs="宋体"/>
                <w:color w:val="auto"/>
                <w:sz w:val="24"/>
                <w:highlight w:val="none"/>
              </w:rPr>
            </w:pPr>
          </w:p>
        </w:tc>
        <w:tc>
          <w:tcPr>
            <w:tcW w:w="900" w:type="dxa"/>
            <w:noWrap w:val="0"/>
            <w:vAlign w:val="center"/>
          </w:tcPr>
          <w:p w14:paraId="286B36B9">
            <w:pPr>
              <w:spacing w:line="400" w:lineRule="exact"/>
              <w:rPr>
                <w:rFonts w:hint="eastAsia" w:ascii="宋体" w:hAnsi="宋体" w:cs="宋体"/>
                <w:color w:val="auto"/>
                <w:sz w:val="24"/>
                <w:highlight w:val="none"/>
              </w:rPr>
            </w:pPr>
          </w:p>
        </w:tc>
        <w:tc>
          <w:tcPr>
            <w:tcW w:w="720" w:type="dxa"/>
            <w:noWrap w:val="0"/>
            <w:vAlign w:val="center"/>
          </w:tcPr>
          <w:p w14:paraId="13E0CD1B">
            <w:pPr>
              <w:spacing w:line="400" w:lineRule="exact"/>
              <w:rPr>
                <w:rFonts w:hint="eastAsia" w:ascii="宋体" w:hAnsi="宋体" w:cs="宋体"/>
                <w:color w:val="auto"/>
                <w:sz w:val="24"/>
                <w:highlight w:val="none"/>
              </w:rPr>
            </w:pPr>
          </w:p>
        </w:tc>
        <w:tc>
          <w:tcPr>
            <w:tcW w:w="1440" w:type="dxa"/>
            <w:noWrap w:val="0"/>
            <w:vAlign w:val="center"/>
          </w:tcPr>
          <w:p w14:paraId="46D2016A">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59981A2E">
            <w:pPr>
              <w:spacing w:line="400" w:lineRule="exact"/>
              <w:rPr>
                <w:rFonts w:hint="eastAsia" w:ascii="宋体" w:hAnsi="宋体" w:cs="宋体"/>
                <w:color w:val="auto"/>
                <w:sz w:val="24"/>
                <w:highlight w:val="none"/>
              </w:rPr>
            </w:pPr>
          </w:p>
        </w:tc>
      </w:tr>
      <w:tr w14:paraId="3461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7B0CAAE4">
            <w:pPr>
              <w:spacing w:line="400" w:lineRule="exact"/>
              <w:rPr>
                <w:rFonts w:hint="eastAsia" w:ascii="宋体" w:hAnsi="宋体" w:cs="宋体"/>
                <w:color w:val="auto"/>
                <w:sz w:val="24"/>
                <w:highlight w:val="none"/>
              </w:rPr>
            </w:pPr>
          </w:p>
        </w:tc>
        <w:tc>
          <w:tcPr>
            <w:tcW w:w="1951" w:type="dxa"/>
            <w:noWrap w:val="0"/>
            <w:vAlign w:val="center"/>
          </w:tcPr>
          <w:p w14:paraId="78E30F8A">
            <w:pPr>
              <w:spacing w:line="400" w:lineRule="exact"/>
              <w:rPr>
                <w:rFonts w:hint="eastAsia" w:ascii="宋体" w:hAnsi="宋体" w:cs="宋体"/>
                <w:color w:val="auto"/>
                <w:sz w:val="24"/>
                <w:highlight w:val="none"/>
              </w:rPr>
            </w:pPr>
          </w:p>
        </w:tc>
        <w:tc>
          <w:tcPr>
            <w:tcW w:w="569" w:type="dxa"/>
            <w:noWrap w:val="0"/>
            <w:vAlign w:val="center"/>
          </w:tcPr>
          <w:p w14:paraId="1E1E0F08">
            <w:pPr>
              <w:spacing w:line="400" w:lineRule="exact"/>
              <w:rPr>
                <w:rFonts w:hint="eastAsia" w:ascii="宋体" w:hAnsi="宋体" w:cs="宋体"/>
                <w:color w:val="auto"/>
                <w:sz w:val="24"/>
                <w:highlight w:val="none"/>
              </w:rPr>
            </w:pPr>
          </w:p>
        </w:tc>
        <w:tc>
          <w:tcPr>
            <w:tcW w:w="540" w:type="dxa"/>
            <w:noWrap w:val="0"/>
            <w:vAlign w:val="center"/>
          </w:tcPr>
          <w:p w14:paraId="18B3E0C9">
            <w:pPr>
              <w:spacing w:line="400" w:lineRule="exact"/>
              <w:rPr>
                <w:rFonts w:hint="eastAsia" w:ascii="宋体" w:hAnsi="宋体" w:cs="宋体"/>
                <w:color w:val="auto"/>
                <w:sz w:val="24"/>
                <w:highlight w:val="none"/>
              </w:rPr>
            </w:pPr>
          </w:p>
        </w:tc>
        <w:tc>
          <w:tcPr>
            <w:tcW w:w="900" w:type="dxa"/>
            <w:noWrap w:val="0"/>
            <w:vAlign w:val="center"/>
          </w:tcPr>
          <w:p w14:paraId="5936168B">
            <w:pPr>
              <w:spacing w:line="400" w:lineRule="exact"/>
              <w:rPr>
                <w:rFonts w:hint="eastAsia" w:ascii="宋体" w:hAnsi="宋体" w:cs="宋体"/>
                <w:color w:val="auto"/>
                <w:sz w:val="24"/>
                <w:highlight w:val="none"/>
              </w:rPr>
            </w:pPr>
          </w:p>
        </w:tc>
        <w:tc>
          <w:tcPr>
            <w:tcW w:w="720" w:type="dxa"/>
            <w:noWrap w:val="0"/>
            <w:vAlign w:val="center"/>
          </w:tcPr>
          <w:p w14:paraId="0B0A89DD">
            <w:pPr>
              <w:spacing w:line="400" w:lineRule="exact"/>
              <w:rPr>
                <w:rFonts w:hint="eastAsia" w:ascii="宋体" w:hAnsi="宋体" w:cs="宋体"/>
                <w:color w:val="auto"/>
                <w:sz w:val="24"/>
                <w:highlight w:val="none"/>
              </w:rPr>
            </w:pPr>
          </w:p>
        </w:tc>
        <w:tc>
          <w:tcPr>
            <w:tcW w:w="1440" w:type="dxa"/>
            <w:noWrap w:val="0"/>
            <w:vAlign w:val="center"/>
          </w:tcPr>
          <w:p w14:paraId="0B470FF4">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0188F11B">
            <w:pPr>
              <w:spacing w:line="400" w:lineRule="exact"/>
              <w:rPr>
                <w:rFonts w:hint="eastAsia" w:ascii="宋体" w:hAnsi="宋体" w:cs="宋体"/>
                <w:color w:val="auto"/>
                <w:sz w:val="24"/>
                <w:highlight w:val="none"/>
              </w:rPr>
            </w:pPr>
          </w:p>
        </w:tc>
      </w:tr>
      <w:tr w14:paraId="7ADD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4BF845B9">
            <w:pPr>
              <w:spacing w:line="400" w:lineRule="exact"/>
              <w:rPr>
                <w:rFonts w:hint="eastAsia" w:ascii="宋体" w:hAnsi="宋体" w:cs="宋体"/>
                <w:color w:val="auto"/>
                <w:sz w:val="24"/>
                <w:highlight w:val="none"/>
              </w:rPr>
            </w:pPr>
          </w:p>
        </w:tc>
        <w:tc>
          <w:tcPr>
            <w:tcW w:w="1951" w:type="dxa"/>
            <w:noWrap w:val="0"/>
            <w:vAlign w:val="center"/>
          </w:tcPr>
          <w:p w14:paraId="5971F6AC">
            <w:pPr>
              <w:spacing w:line="400" w:lineRule="exact"/>
              <w:rPr>
                <w:rFonts w:hint="eastAsia" w:ascii="宋体" w:hAnsi="宋体" w:cs="宋体"/>
                <w:color w:val="auto"/>
                <w:sz w:val="24"/>
                <w:highlight w:val="none"/>
              </w:rPr>
            </w:pPr>
          </w:p>
        </w:tc>
        <w:tc>
          <w:tcPr>
            <w:tcW w:w="569" w:type="dxa"/>
            <w:noWrap w:val="0"/>
            <w:vAlign w:val="center"/>
          </w:tcPr>
          <w:p w14:paraId="6DEC6BEB">
            <w:pPr>
              <w:spacing w:line="400" w:lineRule="exact"/>
              <w:rPr>
                <w:rFonts w:hint="eastAsia" w:ascii="宋体" w:hAnsi="宋体" w:cs="宋体"/>
                <w:color w:val="auto"/>
                <w:sz w:val="24"/>
                <w:highlight w:val="none"/>
              </w:rPr>
            </w:pPr>
          </w:p>
        </w:tc>
        <w:tc>
          <w:tcPr>
            <w:tcW w:w="540" w:type="dxa"/>
            <w:noWrap w:val="0"/>
            <w:vAlign w:val="center"/>
          </w:tcPr>
          <w:p w14:paraId="5194269A">
            <w:pPr>
              <w:spacing w:line="400" w:lineRule="exact"/>
              <w:rPr>
                <w:rFonts w:hint="eastAsia" w:ascii="宋体" w:hAnsi="宋体" w:cs="宋体"/>
                <w:color w:val="auto"/>
                <w:sz w:val="24"/>
                <w:highlight w:val="none"/>
              </w:rPr>
            </w:pPr>
          </w:p>
        </w:tc>
        <w:tc>
          <w:tcPr>
            <w:tcW w:w="900" w:type="dxa"/>
            <w:noWrap w:val="0"/>
            <w:vAlign w:val="center"/>
          </w:tcPr>
          <w:p w14:paraId="3FB8F438">
            <w:pPr>
              <w:spacing w:line="400" w:lineRule="exact"/>
              <w:rPr>
                <w:rFonts w:hint="eastAsia" w:ascii="宋体" w:hAnsi="宋体" w:cs="宋体"/>
                <w:color w:val="auto"/>
                <w:sz w:val="24"/>
                <w:highlight w:val="none"/>
              </w:rPr>
            </w:pPr>
          </w:p>
        </w:tc>
        <w:tc>
          <w:tcPr>
            <w:tcW w:w="720" w:type="dxa"/>
            <w:noWrap w:val="0"/>
            <w:vAlign w:val="center"/>
          </w:tcPr>
          <w:p w14:paraId="7C0537F9">
            <w:pPr>
              <w:spacing w:line="400" w:lineRule="exact"/>
              <w:rPr>
                <w:rFonts w:hint="eastAsia" w:ascii="宋体" w:hAnsi="宋体" w:cs="宋体"/>
                <w:color w:val="auto"/>
                <w:sz w:val="24"/>
                <w:highlight w:val="none"/>
              </w:rPr>
            </w:pPr>
          </w:p>
        </w:tc>
        <w:tc>
          <w:tcPr>
            <w:tcW w:w="1440" w:type="dxa"/>
            <w:noWrap w:val="0"/>
            <w:vAlign w:val="center"/>
          </w:tcPr>
          <w:p w14:paraId="47E99CCC">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7767DB2C">
            <w:pPr>
              <w:spacing w:line="400" w:lineRule="exact"/>
              <w:rPr>
                <w:rFonts w:hint="eastAsia" w:ascii="宋体" w:hAnsi="宋体" w:cs="宋体"/>
                <w:color w:val="auto"/>
                <w:sz w:val="24"/>
                <w:highlight w:val="none"/>
              </w:rPr>
            </w:pPr>
          </w:p>
        </w:tc>
      </w:tr>
      <w:tr w14:paraId="004F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08" w:type="dxa"/>
            <w:tcBorders>
              <w:left w:val="single" w:color="auto" w:sz="12" w:space="0"/>
            </w:tcBorders>
            <w:noWrap w:val="0"/>
            <w:vAlign w:val="center"/>
          </w:tcPr>
          <w:p w14:paraId="36B928D9">
            <w:pPr>
              <w:spacing w:line="400" w:lineRule="exact"/>
              <w:rPr>
                <w:rFonts w:hint="eastAsia" w:ascii="宋体" w:hAnsi="宋体" w:cs="宋体"/>
                <w:color w:val="auto"/>
                <w:sz w:val="24"/>
                <w:highlight w:val="none"/>
              </w:rPr>
            </w:pPr>
          </w:p>
        </w:tc>
        <w:tc>
          <w:tcPr>
            <w:tcW w:w="1951" w:type="dxa"/>
            <w:noWrap w:val="0"/>
            <w:vAlign w:val="center"/>
          </w:tcPr>
          <w:p w14:paraId="08BB66C7">
            <w:pPr>
              <w:spacing w:line="400" w:lineRule="exact"/>
              <w:rPr>
                <w:rFonts w:hint="eastAsia" w:ascii="宋体" w:hAnsi="宋体" w:cs="宋体"/>
                <w:color w:val="auto"/>
                <w:sz w:val="24"/>
                <w:highlight w:val="none"/>
              </w:rPr>
            </w:pPr>
          </w:p>
        </w:tc>
        <w:tc>
          <w:tcPr>
            <w:tcW w:w="569" w:type="dxa"/>
            <w:noWrap w:val="0"/>
            <w:vAlign w:val="center"/>
          </w:tcPr>
          <w:p w14:paraId="27728E25">
            <w:pPr>
              <w:spacing w:line="400" w:lineRule="exact"/>
              <w:rPr>
                <w:rFonts w:hint="eastAsia" w:ascii="宋体" w:hAnsi="宋体" w:cs="宋体"/>
                <w:color w:val="auto"/>
                <w:sz w:val="24"/>
                <w:highlight w:val="none"/>
              </w:rPr>
            </w:pPr>
          </w:p>
        </w:tc>
        <w:tc>
          <w:tcPr>
            <w:tcW w:w="540" w:type="dxa"/>
            <w:noWrap w:val="0"/>
            <w:vAlign w:val="center"/>
          </w:tcPr>
          <w:p w14:paraId="34EDA425">
            <w:pPr>
              <w:spacing w:line="400" w:lineRule="exact"/>
              <w:rPr>
                <w:rFonts w:hint="eastAsia" w:ascii="宋体" w:hAnsi="宋体" w:cs="宋体"/>
                <w:color w:val="auto"/>
                <w:sz w:val="24"/>
                <w:highlight w:val="none"/>
              </w:rPr>
            </w:pPr>
          </w:p>
        </w:tc>
        <w:tc>
          <w:tcPr>
            <w:tcW w:w="900" w:type="dxa"/>
            <w:noWrap w:val="0"/>
            <w:vAlign w:val="center"/>
          </w:tcPr>
          <w:p w14:paraId="06669FCD">
            <w:pPr>
              <w:spacing w:line="400" w:lineRule="exact"/>
              <w:rPr>
                <w:rFonts w:hint="eastAsia" w:ascii="宋体" w:hAnsi="宋体" w:cs="宋体"/>
                <w:color w:val="auto"/>
                <w:sz w:val="24"/>
                <w:highlight w:val="none"/>
              </w:rPr>
            </w:pPr>
          </w:p>
        </w:tc>
        <w:tc>
          <w:tcPr>
            <w:tcW w:w="720" w:type="dxa"/>
            <w:noWrap w:val="0"/>
            <w:vAlign w:val="center"/>
          </w:tcPr>
          <w:p w14:paraId="76293E39">
            <w:pPr>
              <w:spacing w:line="400" w:lineRule="exact"/>
              <w:rPr>
                <w:rFonts w:hint="eastAsia" w:ascii="宋体" w:hAnsi="宋体" w:cs="宋体"/>
                <w:color w:val="auto"/>
                <w:sz w:val="24"/>
                <w:highlight w:val="none"/>
              </w:rPr>
            </w:pPr>
          </w:p>
        </w:tc>
        <w:tc>
          <w:tcPr>
            <w:tcW w:w="1440" w:type="dxa"/>
            <w:noWrap w:val="0"/>
            <w:vAlign w:val="center"/>
          </w:tcPr>
          <w:p w14:paraId="23A19310">
            <w:pPr>
              <w:spacing w:line="400" w:lineRule="exact"/>
              <w:rPr>
                <w:rFonts w:hint="eastAsia" w:ascii="宋体" w:hAnsi="宋体" w:cs="宋体"/>
                <w:color w:val="auto"/>
                <w:sz w:val="24"/>
                <w:highlight w:val="none"/>
              </w:rPr>
            </w:pPr>
          </w:p>
        </w:tc>
        <w:tc>
          <w:tcPr>
            <w:tcW w:w="2640" w:type="dxa"/>
            <w:tcBorders>
              <w:right w:val="single" w:color="auto" w:sz="12" w:space="0"/>
            </w:tcBorders>
            <w:noWrap w:val="0"/>
            <w:vAlign w:val="center"/>
          </w:tcPr>
          <w:p w14:paraId="01C14CF5">
            <w:pPr>
              <w:spacing w:line="400" w:lineRule="exact"/>
              <w:rPr>
                <w:rFonts w:hint="eastAsia" w:ascii="宋体" w:hAnsi="宋体" w:cs="宋体"/>
                <w:color w:val="auto"/>
                <w:sz w:val="24"/>
                <w:highlight w:val="none"/>
              </w:rPr>
            </w:pPr>
          </w:p>
        </w:tc>
      </w:tr>
      <w:tr w14:paraId="6EA7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9768" w:type="dxa"/>
            <w:gridSpan w:val="8"/>
            <w:tcBorders>
              <w:left w:val="single" w:color="auto" w:sz="12" w:space="0"/>
              <w:bottom w:val="single" w:color="auto" w:sz="12" w:space="0"/>
              <w:right w:val="single" w:color="auto" w:sz="12" w:space="0"/>
            </w:tcBorders>
            <w:noWrap w:val="0"/>
            <w:vAlign w:val="center"/>
          </w:tcPr>
          <w:p w14:paraId="502D6E9B">
            <w:pPr>
              <w:spacing w:line="400" w:lineRule="exact"/>
              <w:rPr>
                <w:rFonts w:hint="eastAsia" w:ascii="宋体" w:hAnsi="宋体" w:cs="宋体"/>
                <w:color w:val="auto"/>
                <w:highlight w:val="none"/>
              </w:rPr>
            </w:pPr>
          </w:p>
        </w:tc>
      </w:tr>
    </w:tbl>
    <w:p w14:paraId="065F9955">
      <w:pPr>
        <w:spacing w:line="400" w:lineRule="exact"/>
        <w:ind w:firstLine="480"/>
        <w:rPr>
          <w:rFonts w:hint="eastAsia" w:ascii="宋体" w:hAnsi="宋体" w:cs="宋体"/>
          <w:color w:val="auto"/>
          <w:sz w:val="24"/>
          <w:highlight w:val="none"/>
        </w:rPr>
      </w:pPr>
    </w:p>
    <w:p w14:paraId="30C2F5E3">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注：列入本表人员如要更换，需经招标人单位同意。擅自更换或不到位属违约行为。</w:t>
      </w:r>
    </w:p>
    <w:p w14:paraId="5E679E9B">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9374225">
      <w:pPr>
        <w:spacing w:line="400" w:lineRule="exact"/>
        <w:jc w:val="right"/>
        <w:rPr>
          <w:rFonts w:hint="eastAsia" w:ascii="宋体" w:hAnsi="宋体" w:cs="宋体"/>
          <w:color w:val="auto"/>
          <w:highlight w:val="none"/>
        </w:rPr>
      </w:pPr>
      <w:r>
        <w:rPr>
          <w:rFonts w:hint="eastAsia" w:ascii="宋体" w:hAnsi="宋体" w:cs="宋体"/>
          <w:color w:val="auto"/>
          <w:sz w:val="24"/>
          <w:highlight w:val="none"/>
        </w:rPr>
        <w:br w:type="page"/>
      </w:r>
    </w:p>
    <w:p w14:paraId="78D3CB9A">
      <w:pPr>
        <w:spacing w:line="400" w:lineRule="exact"/>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派驻现场监理人员简历表</w:t>
      </w:r>
    </w:p>
    <w:p w14:paraId="0752D272">
      <w:pPr>
        <w:pStyle w:val="15"/>
        <w:spacing w:line="400" w:lineRule="exact"/>
        <w:rPr>
          <w:rFonts w:hint="eastAsia" w:ascii="宋体" w:hAnsi="宋体" w:cs="宋体"/>
          <w:color w:val="auto"/>
          <w:highlight w:val="none"/>
        </w:rPr>
      </w:pPr>
    </w:p>
    <w:p w14:paraId="7AA62429">
      <w:pPr>
        <w:pStyle w:val="15"/>
        <w:spacing w:line="400" w:lineRule="exact"/>
        <w:rPr>
          <w:rFonts w:hint="eastAsia" w:ascii="宋体" w:hAnsi="宋体" w:cs="宋体"/>
          <w:color w:val="auto"/>
          <w:highlight w:val="none"/>
        </w:rPr>
      </w:pPr>
      <w:r>
        <w:rPr>
          <w:rFonts w:hint="eastAsia" w:ascii="宋体" w:hAnsi="宋体" w:cs="宋体"/>
          <w:color w:val="auto"/>
          <w:highlight w:val="none"/>
        </w:rPr>
        <w:t xml:space="preserve"> 工程名称：</w:t>
      </w:r>
    </w:p>
    <w:tbl>
      <w:tblPr>
        <w:tblStyle w:val="25"/>
        <w:tblW w:w="0" w:type="auto"/>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2520"/>
        <w:gridCol w:w="2160"/>
        <w:gridCol w:w="2970"/>
      </w:tblGrid>
      <w:tr w14:paraId="35CD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5" w:type="dxa"/>
            <w:noWrap w:val="0"/>
            <w:vAlign w:val="center"/>
          </w:tcPr>
          <w:p w14:paraId="085402AB">
            <w:pPr>
              <w:spacing w:line="400" w:lineRule="exact"/>
              <w:rPr>
                <w:rFonts w:hint="eastAsia" w:ascii="宋体" w:hAnsi="宋体" w:cs="宋体"/>
                <w:color w:val="auto"/>
                <w:sz w:val="24"/>
                <w:highlight w:val="none"/>
              </w:rPr>
            </w:pPr>
            <w:r>
              <w:rPr>
                <w:rFonts w:hint="eastAsia" w:ascii="宋体" w:hAnsi="宋体" w:cs="宋体"/>
                <w:color w:val="auto"/>
                <w:sz w:val="24"/>
                <w:highlight w:val="none"/>
              </w:rPr>
              <w:t>姓       名</w:t>
            </w:r>
          </w:p>
        </w:tc>
        <w:tc>
          <w:tcPr>
            <w:tcW w:w="2520" w:type="dxa"/>
            <w:noWrap w:val="0"/>
            <w:vAlign w:val="center"/>
          </w:tcPr>
          <w:p w14:paraId="404A6701">
            <w:pPr>
              <w:spacing w:line="400" w:lineRule="exact"/>
              <w:rPr>
                <w:rFonts w:hint="eastAsia" w:ascii="宋体" w:hAnsi="宋体" w:cs="宋体"/>
                <w:color w:val="auto"/>
                <w:sz w:val="24"/>
                <w:highlight w:val="none"/>
              </w:rPr>
            </w:pPr>
          </w:p>
        </w:tc>
        <w:tc>
          <w:tcPr>
            <w:tcW w:w="2160" w:type="dxa"/>
            <w:noWrap w:val="0"/>
            <w:vAlign w:val="center"/>
          </w:tcPr>
          <w:p w14:paraId="0E71A211">
            <w:pPr>
              <w:spacing w:line="400" w:lineRule="exact"/>
              <w:rPr>
                <w:rFonts w:hint="eastAsia" w:ascii="宋体" w:hAnsi="宋体" w:cs="宋体"/>
                <w:color w:val="auto"/>
                <w:sz w:val="24"/>
                <w:highlight w:val="none"/>
              </w:rPr>
            </w:pPr>
            <w:r>
              <w:rPr>
                <w:rFonts w:hint="eastAsia" w:ascii="宋体" w:hAnsi="宋体" w:cs="宋体"/>
                <w:color w:val="auto"/>
                <w:sz w:val="24"/>
                <w:highlight w:val="none"/>
              </w:rPr>
              <w:t>出 生 年 月</w:t>
            </w:r>
          </w:p>
        </w:tc>
        <w:tc>
          <w:tcPr>
            <w:tcW w:w="2970" w:type="dxa"/>
            <w:noWrap w:val="0"/>
            <w:vAlign w:val="center"/>
          </w:tcPr>
          <w:p w14:paraId="59E49F66">
            <w:pPr>
              <w:spacing w:line="400" w:lineRule="exact"/>
              <w:rPr>
                <w:rFonts w:hint="eastAsia" w:ascii="宋体" w:hAnsi="宋体" w:cs="宋体"/>
                <w:color w:val="auto"/>
                <w:sz w:val="24"/>
                <w:highlight w:val="none"/>
              </w:rPr>
            </w:pPr>
          </w:p>
        </w:tc>
      </w:tr>
      <w:tr w14:paraId="089D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5" w:type="dxa"/>
            <w:noWrap w:val="0"/>
            <w:vAlign w:val="center"/>
          </w:tcPr>
          <w:p w14:paraId="1A5B636D">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文 化 程 度</w:t>
            </w:r>
          </w:p>
        </w:tc>
        <w:tc>
          <w:tcPr>
            <w:tcW w:w="2520" w:type="dxa"/>
            <w:noWrap w:val="0"/>
            <w:vAlign w:val="center"/>
          </w:tcPr>
          <w:p w14:paraId="522454F2">
            <w:pPr>
              <w:spacing w:line="400" w:lineRule="exact"/>
              <w:rPr>
                <w:rFonts w:hint="eastAsia" w:ascii="宋体" w:hAnsi="宋体" w:cs="宋体"/>
                <w:color w:val="auto"/>
                <w:sz w:val="24"/>
                <w:highlight w:val="none"/>
              </w:rPr>
            </w:pPr>
          </w:p>
        </w:tc>
        <w:tc>
          <w:tcPr>
            <w:tcW w:w="2160" w:type="dxa"/>
            <w:noWrap w:val="0"/>
            <w:vAlign w:val="center"/>
          </w:tcPr>
          <w:p w14:paraId="01D7B238">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技 术 职 称</w:t>
            </w:r>
          </w:p>
        </w:tc>
        <w:tc>
          <w:tcPr>
            <w:tcW w:w="2970" w:type="dxa"/>
            <w:noWrap w:val="0"/>
            <w:vAlign w:val="center"/>
          </w:tcPr>
          <w:p w14:paraId="5367E58D">
            <w:pPr>
              <w:spacing w:line="400" w:lineRule="exact"/>
              <w:rPr>
                <w:rFonts w:hint="eastAsia" w:ascii="宋体" w:hAnsi="宋体" w:cs="宋体"/>
                <w:color w:val="auto"/>
                <w:sz w:val="24"/>
                <w:highlight w:val="none"/>
              </w:rPr>
            </w:pPr>
          </w:p>
        </w:tc>
      </w:tr>
      <w:tr w14:paraId="4ADA7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5" w:type="dxa"/>
            <w:noWrap w:val="0"/>
            <w:vAlign w:val="center"/>
          </w:tcPr>
          <w:p w14:paraId="13C0C980">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毕业院校、专业</w:t>
            </w:r>
          </w:p>
        </w:tc>
        <w:tc>
          <w:tcPr>
            <w:tcW w:w="2520" w:type="dxa"/>
            <w:noWrap w:val="0"/>
            <w:vAlign w:val="center"/>
          </w:tcPr>
          <w:p w14:paraId="281754C1">
            <w:pPr>
              <w:spacing w:line="400" w:lineRule="exact"/>
              <w:rPr>
                <w:rFonts w:hint="eastAsia" w:ascii="宋体" w:hAnsi="宋体" w:cs="宋体"/>
                <w:color w:val="auto"/>
                <w:sz w:val="24"/>
                <w:highlight w:val="none"/>
              </w:rPr>
            </w:pPr>
          </w:p>
        </w:tc>
        <w:tc>
          <w:tcPr>
            <w:tcW w:w="2160" w:type="dxa"/>
            <w:noWrap w:val="0"/>
            <w:vAlign w:val="center"/>
          </w:tcPr>
          <w:p w14:paraId="4E9F3BE7">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毕 业 时 间</w:t>
            </w:r>
          </w:p>
        </w:tc>
        <w:tc>
          <w:tcPr>
            <w:tcW w:w="2970" w:type="dxa"/>
            <w:noWrap w:val="0"/>
            <w:vAlign w:val="center"/>
          </w:tcPr>
          <w:p w14:paraId="54361780">
            <w:pPr>
              <w:spacing w:line="400" w:lineRule="exact"/>
              <w:rPr>
                <w:rFonts w:hint="eastAsia" w:ascii="宋体" w:hAnsi="宋体" w:cs="宋体"/>
                <w:color w:val="auto"/>
                <w:sz w:val="24"/>
                <w:highlight w:val="none"/>
              </w:rPr>
            </w:pPr>
          </w:p>
        </w:tc>
      </w:tr>
      <w:tr w14:paraId="36F5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5" w:type="dxa"/>
            <w:noWrap w:val="0"/>
            <w:vAlign w:val="center"/>
          </w:tcPr>
          <w:p w14:paraId="5A1FB45C">
            <w:pPr>
              <w:spacing w:line="400" w:lineRule="exact"/>
              <w:rPr>
                <w:rFonts w:hint="eastAsia" w:ascii="宋体" w:hAnsi="宋体" w:cs="宋体"/>
                <w:color w:val="auto"/>
                <w:sz w:val="24"/>
                <w:highlight w:val="none"/>
              </w:rPr>
            </w:pPr>
            <w:r>
              <w:rPr>
                <w:rFonts w:hint="eastAsia" w:ascii="宋体" w:hAnsi="宋体" w:cs="宋体"/>
                <w:color w:val="auto"/>
                <w:sz w:val="24"/>
                <w:highlight w:val="none"/>
              </w:rPr>
              <w:t>现 任 职 务</w:t>
            </w:r>
          </w:p>
        </w:tc>
        <w:tc>
          <w:tcPr>
            <w:tcW w:w="2520" w:type="dxa"/>
            <w:noWrap w:val="0"/>
            <w:vAlign w:val="center"/>
          </w:tcPr>
          <w:p w14:paraId="1B1DB730">
            <w:pPr>
              <w:spacing w:line="400" w:lineRule="exact"/>
              <w:rPr>
                <w:rFonts w:hint="eastAsia" w:ascii="宋体" w:hAnsi="宋体" w:cs="宋体"/>
                <w:color w:val="auto"/>
                <w:sz w:val="24"/>
                <w:highlight w:val="none"/>
              </w:rPr>
            </w:pPr>
          </w:p>
        </w:tc>
        <w:tc>
          <w:tcPr>
            <w:tcW w:w="2160" w:type="dxa"/>
            <w:noWrap w:val="0"/>
            <w:vAlign w:val="center"/>
          </w:tcPr>
          <w:p w14:paraId="596BECB0">
            <w:pPr>
              <w:spacing w:line="400" w:lineRule="exact"/>
              <w:rPr>
                <w:rFonts w:hint="eastAsia" w:ascii="宋体" w:hAnsi="宋体" w:cs="宋体"/>
                <w:color w:val="auto"/>
                <w:sz w:val="24"/>
                <w:highlight w:val="none"/>
              </w:rPr>
            </w:pPr>
            <w:r>
              <w:rPr>
                <w:rFonts w:hint="eastAsia" w:ascii="宋体" w:hAnsi="宋体" w:cs="宋体"/>
                <w:color w:val="auto"/>
                <w:sz w:val="24"/>
                <w:highlight w:val="none"/>
              </w:rPr>
              <w:t>从事监理工作时间</w:t>
            </w:r>
          </w:p>
        </w:tc>
        <w:tc>
          <w:tcPr>
            <w:tcW w:w="2970" w:type="dxa"/>
            <w:noWrap w:val="0"/>
            <w:vAlign w:val="center"/>
          </w:tcPr>
          <w:p w14:paraId="4B15302F">
            <w:pPr>
              <w:spacing w:line="400" w:lineRule="exact"/>
              <w:rPr>
                <w:rFonts w:hint="eastAsia" w:ascii="宋体" w:hAnsi="宋体" w:cs="宋体"/>
                <w:color w:val="auto"/>
                <w:sz w:val="24"/>
                <w:highlight w:val="none"/>
              </w:rPr>
            </w:pPr>
          </w:p>
        </w:tc>
      </w:tr>
      <w:tr w14:paraId="572E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95" w:type="dxa"/>
            <w:noWrap w:val="0"/>
            <w:vAlign w:val="center"/>
          </w:tcPr>
          <w:p w14:paraId="0366F9FE">
            <w:pPr>
              <w:spacing w:line="400" w:lineRule="exact"/>
              <w:rPr>
                <w:rFonts w:hint="eastAsia" w:ascii="宋体" w:hAnsi="宋体" w:cs="宋体"/>
                <w:color w:val="auto"/>
                <w:sz w:val="24"/>
                <w:highlight w:val="none"/>
              </w:rPr>
            </w:pPr>
            <w:r>
              <w:rPr>
                <w:rFonts w:hint="eastAsia" w:ascii="宋体" w:hAnsi="宋体" w:cs="宋体"/>
                <w:color w:val="auto"/>
                <w:sz w:val="24"/>
                <w:highlight w:val="none"/>
              </w:rPr>
              <w:t>监理培训证书号</w:t>
            </w:r>
          </w:p>
        </w:tc>
        <w:tc>
          <w:tcPr>
            <w:tcW w:w="2520" w:type="dxa"/>
            <w:noWrap w:val="0"/>
            <w:vAlign w:val="center"/>
          </w:tcPr>
          <w:p w14:paraId="23A07931">
            <w:pPr>
              <w:spacing w:line="400" w:lineRule="exact"/>
              <w:rPr>
                <w:rFonts w:hint="eastAsia" w:ascii="宋体" w:hAnsi="宋体" w:cs="宋体"/>
                <w:color w:val="auto"/>
                <w:sz w:val="24"/>
                <w:highlight w:val="none"/>
              </w:rPr>
            </w:pPr>
          </w:p>
        </w:tc>
        <w:tc>
          <w:tcPr>
            <w:tcW w:w="2160" w:type="dxa"/>
            <w:noWrap w:val="0"/>
            <w:vAlign w:val="center"/>
          </w:tcPr>
          <w:p w14:paraId="15A79231">
            <w:pPr>
              <w:spacing w:line="400" w:lineRule="exact"/>
              <w:rPr>
                <w:rFonts w:hint="eastAsia" w:ascii="宋体" w:hAnsi="宋体" w:cs="宋体"/>
                <w:color w:val="auto"/>
                <w:sz w:val="24"/>
                <w:highlight w:val="none"/>
              </w:rPr>
            </w:pPr>
            <w:r>
              <w:rPr>
                <w:rFonts w:hint="eastAsia" w:ascii="宋体" w:hAnsi="宋体" w:cs="宋体"/>
                <w:color w:val="auto"/>
                <w:sz w:val="24"/>
                <w:highlight w:val="none"/>
              </w:rPr>
              <w:t>监理工程师证书号</w:t>
            </w:r>
          </w:p>
        </w:tc>
        <w:tc>
          <w:tcPr>
            <w:tcW w:w="2970" w:type="dxa"/>
            <w:noWrap w:val="0"/>
            <w:vAlign w:val="center"/>
          </w:tcPr>
          <w:p w14:paraId="5E2B0686">
            <w:pPr>
              <w:spacing w:line="400" w:lineRule="exact"/>
              <w:rPr>
                <w:rFonts w:hint="eastAsia" w:ascii="宋体" w:hAnsi="宋体" w:cs="宋体"/>
                <w:color w:val="auto"/>
                <w:sz w:val="24"/>
                <w:highlight w:val="none"/>
              </w:rPr>
            </w:pPr>
          </w:p>
        </w:tc>
      </w:tr>
      <w:tr w14:paraId="53BC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1" w:hRule="atLeast"/>
        </w:trPr>
        <w:tc>
          <w:tcPr>
            <w:tcW w:w="9345" w:type="dxa"/>
            <w:gridSpan w:val="4"/>
            <w:noWrap w:val="0"/>
            <w:vAlign w:val="top"/>
          </w:tcPr>
          <w:p w14:paraId="6A630163">
            <w:pPr>
              <w:spacing w:line="400" w:lineRule="exact"/>
              <w:rPr>
                <w:rFonts w:hint="eastAsia" w:ascii="宋体" w:hAnsi="宋体" w:cs="宋体"/>
                <w:color w:val="auto"/>
                <w:sz w:val="24"/>
                <w:highlight w:val="none"/>
              </w:rPr>
            </w:pPr>
            <w:r>
              <w:rPr>
                <w:rFonts w:hint="eastAsia" w:ascii="宋体" w:hAnsi="宋体" w:cs="宋体"/>
                <w:color w:val="auto"/>
                <w:sz w:val="24"/>
                <w:highlight w:val="none"/>
              </w:rPr>
              <w:t>工作简历：</w:t>
            </w:r>
          </w:p>
        </w:tc>
      </w:tr>
    </w:tbl>
    <w:p w14:paraId="302D292F">
      <w:pPr>
        <w:spacing w:line="400" w:lineRule="exact"/>
        <w:rPr>
          <w:rFonts w:hint="eastAsia" w:ascii="宋体" w:hAnsi="宋体" w:cs="宋体"/>
          <w:color w:val="auto"/>
          <w:sz w:val="24"/>
          <w:highlight w:val="none"/>
        </w:rPr>
      </w:pPr>
      <w:r>
        <w:rPr>
          <w:rFonts w:hint="eastAsia" w:ascii="宋体" w:hAnsi="宋体" w:cs="宋体"/>
          <w:color w:val="auto"/>
          <w:sz w:val="24"/>
          <w:highlight w:val="none"/>
        </w:rPr>
        <w:t xml:space="preserve"> 注：每表一人。</w:t>
      </w:r>
    </w:p>
    <w:p w14:paraId="3930485E">
      <w:pPr>
        <w:spacing w:line="360" w:lineRule="auto"/>
        <w:jc w:val="center"/>
        <w:rPr>
          <w:rFonts w:hint="eastAsia" w:ascii="宋体" w:hAnsi="宋体" w:cs="宋体"/>
          <w:color w:val="auto"/>
          <w:sz w:val="24"/>
          <w:highlight w:val="none"/>
        </w:rPr>
      </w:pPr>
    </w:p>
    <w:p w14:paraId="113A0E25">
      <w:pPr>
        <w:spacing w:line="360" w:lineRule="auto"/>
        <w:jc w:val="center"/>
        <w:rPr>
          <w:rFonts w:hint="eastAsia" w:ascii="宋体" w:hAnsi="宋体" w:cs="宋体"/>
          <w:b/>
          <w:color w:val="auto"/>
          <w:sz w:val="28"/>
          <w:highlight w:val="none"/>
        </w:rPr>
      </w:pPr>
      <w:r>
        <w:rPr>
          <w:rFonts w:hint="eastAsia" w:ascii="宋体" w:hAnsi="宋体" w:cs="宋体"/>
          <w:color w:val="auto"/>
          <w:sz w:val="24"/>
          <w:highlight w:val="none"/>
        </w:rPr>
        <w:br w:type="page"/>
      </w:r>
      <w:r>
        <w:rPr>
          <w:rFonts w:hint="eastAsia" w:ascii="宋体" w:hAnsi="宋体" w:eastAsia="宋体" w:cs="Times New Roman"/>
          <w:b/>
          <w:color w:val="auto"/>
          <w:kern w:val="2"/>
          <w:sz w:val="28"/>
          <w:szCs w:val="28"/>
          <w:highlight w:val="none"/>
          <w:lang w:val="en-US" w:eastAsia="zh-CN" w:bidi="ar-SA"/>
        </w:rPr>
        <w:t>总监理工程师已完成监理的工程一览表</w:t>
      </w:r>
    </w:p>
    <w:p w14:paraId="718FBC73">
      <w:pPr>
        <w:spacing w:line="400" w:lineRule="exact"/>
        <w:rPr>
          <w:rFonts w:hint="eastAsia" w:ascii="宋体" w:hAnsi="宋体" w:cs="宋体"/>
          <w:b/>
          <w:color w:val="auto"/>
          <w:sz w:val="2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80"/>
        <w:gridCol w:w="2700"/>
        <w:gridCol w:w="1849"/>
        <w:gridCol w:w="2294"/>
      </w:tblGrid>
      <w:tr w14:paraId="15F5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0BD716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工程名称</w:t>
            </w:r>
          </w:p>
        </w:tc>
        <w:tc>
          <w:tcPr>
            <w:tcW w:w="6843" w:type="dxa"/>
            <w:gridSpan w:val="3"/>
            <w:noWrap w:val="0"/>
            <w:vAlign w:val="top"/>
          </w:tcPr>
          <w:p w14:paraId="6DC30D63">
            <w:pPr>
              <w:spacing w:line="400" w:lineRule="exact"/>
              <w:jc w:val="center"/>
              <w:rPr>
                <w:rFonts w:hint="eastAsia" w:ascii="宋体" w:hAnsi="宋体" w:cs="宋体"/>
                <w:color w:val="auto"/>
                <w:sz w:val="24"/>
                <w:szCs w:val="24"/>
                <w:highlight w:val="none"/>
              </w:rPr>
            </w:pPr>
          </w:p>
        </w:tc>
      </w:tr>
      <w:tr w14:paraId="7963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322A6B1">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项目地点</w:t>
            </w:r>
          </w:p>
        </w:tc>
        <w:tc>
          <w:tcPr>
            <w:tcW w:w="6843" w:type="dxa"/>
            <w:gridSpan w:val="3"/>
            <w:noWrap w:val="0"/>
            <w:vAlign w:val="top"/>
          </w:tcPr>
          <w:p w14:paraId="0247FC1E">
            <w:pPr>
              <w:spacing w:line="400" w:lineRule="exact"/>
              <w:jc w:val="center"/>
              <w:rPr>
                <w:rFonts w:hint="eastAsia" w:ascii="宋体" w:hAnsi="宋体" w:cs="宋体"/>
                <w:color w:val="auto"/>
                <w:sz w:val="24"/>
                <w:szCs w:val="24"/>
                <w:highlight w:val="none"/>
              </w:rPr>
            </w:pPr>
          </w:p>
        </w:tc>
      </w:tr>
      <w:tr w14:paraId="498E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0F6FF38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工程规模</w:t>
            </w:r>
          </w:p>
        </w:tc>
        <w:tc>
          <w:tcPr>
            <w:tcW w:w="6843" w:type="dxa"/>
            <w:gridSpan w:val="3"/>
            <w:noWrap w:val="0"/>
            <w:vAlign w:val="top"/>
          </w:tcPr>
          <w:p w14:paraId="04F632D4">
            <w:pPr>
              <w:spacing w:line="400" w:lineRule="exact"/>
              <w:jc w:val="center"/>
              <w:rPr>
                <w:rFonts w:hint="eastAsia" w:ascii="宋体" w:hAnsi="宋体" w:cs="宋体"/>
                <w:color w:val="auto"/>
                <w:sz w:val="24"/>
                <w:szCs w:val="24"/>
                <w:highlight w:val="none"/>
              </w:rPr>
            </w:pPr>
          </w:p>
        </w:tc>
      </w:tr>
      <w:tr w14:paraId="7FE5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9A6282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工程等级</w:t>
            </w:r>
          </w:p>
        </w:tc>
        <w:tc>
          <w:tcPr>
            <w:tcW w:w="2700" w:type="dxa"/>
            <w:noWrap w:val="0"/>
            <w:vAlign w:val="top"/>
          </w:tcPr>
          <w:p w14:paraId="0B99B678">
            <w:pPr>
              <w:spacing w:line="400" w:lineRule="exact"/>
              <w:jc w:val="center"/>
              <w:rPr>
                <w:rFonts w:hint="eastAsia" w:ascii="宋体" w:hAnsi="宋体" w:cs="宋体"/>
                <w:color w:val="auto"/>
                <w:sz w:val="24"/>
                <w:szCs w:val="24"/>
                <w:highlight w:val="none"/>
              </w:rPr>
            </w:pPr>
          </w:p>
        </w:tc>
        <w:tc>
          <w:tcPr>
            <w:tcW w:w="1849" w:type="dxa"/>
            <w:noWrap w:val="0"/>
            <w:vAlign w:val="top"/>
          </w:tcPr>
          <w:p w14:paraId="3DC7FC3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工程造价</w:t>
            </w:r>
          </w:p>
        </w:tc>
        <w:tc>
          <w:tcPr>
            <w:tcW w:w="2294" w:type="dxa"/>
            <w:noWrap w:val="0"/>
            <w:vAlign w:val="top"/>
          </w:tcPr>
          <w:p w14:paraId="20B41D0F">
            <w:pPr>
              <w:spacing w:line="400" w:lineRule="exact"/>
              <w:jc w:val="center"/>
              <w:rPr>
                <w:rFonts w:hint="eastAsia" w:ascii="宋体" w:hAnsi="宋体" w:cs="宋体"/>
                <w:color w:val="auto"/>
                <w:sz w:val="24"/>
                <w:szCs w:val="24"/>
                <w:highlight w:val="none"/>
              </w:rPr>
            </w:pPr>
          </w:p>
        </w:tc>
      </w:tr>
      <w:tr w14:paraId="55EB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5B2E146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开工日期</w:t>
            </w:r>
          </w:p>
        </w:tc>
        <w:tc>
          <w:tcPr>
            <w:tcW w:w="2700" w:type="dxa"/>
            <w:noWrap w:val="0"/>
            <w:vAlign w:val="top"/>
          </w:tcPr>
          <w:p w14:paraId="133E94E4">
            <w:pPr>
              <w:spacing w:line="400" w:lineRule="exact"/>
              <w:jc w:val="center"/>
              <w:rPr>
                <w:rFonts w:hint="eastAsia" w:ascii="宋体" w:hAnsi="宋体" w:cs="宋体"/>
                <w:color w:val="auto"/>
                <w:sz w:val="24"/>
                <w:szCs w:val="24"/>
                <w:highlight w:val="none"/>
              </w:rPr>
            </w:pPr>
          </w:p>
        </w:tc>
        <w:tc>
          <w:tcPr>
            <w:tcW w:w="1849" w:type="dxa"/>
            <w:noWrap w:val="0"/>
            <w:vAlign w:val="top"/>
          </w:tcPr>
          <w:p w14:paraId="154BD62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预计完工时间</w:t>
            </w:r>
          </w:p>
        </w:tc>
        <w:tc>
          <w:tcPr>
            <w:tcW w:w="2294" w:type="dxa"/>
            <w:noWrap w:val="0"/>
            <w:vAlign w:val="top"/>
          </w:tcPr>
          <w:p w14:paraId="4FDF9201">
            <w:pPr>
              <w:spacing w:line="400" w:lineRule="exact"/>
              <w:jc w:val="center"/>
              <w:rPr>
                <w:rFonts w:hint="eastAsia" w:ascii="宋体" w:hAnsi="宋体" w:cs="宋体"/>
                <w:color w:val="auto"/>
                <w:sz w:val="24"/>
                <w:szCs w:val="24"/>
                <w:highlight w:val="none"/>
              </w:rPr>
            </w:pPr>
          </w:p>
        </w:tc>
      </w:tr>
      <w:tr w14:paraId="4CA1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4CD8AFB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结构形式</w:t>
            </w:r>
          </w:p>
        </w:tc>
        <w:tc>
          <w:tcPr>
            <w:tcW w:w="2700" w:type="dxa"/>
            <w:noWrap w:val="0"/>
            <w:vAlign w:val="top"/>
          </w:tcPr>
          <w:p w14:paraId="34D953D2">
            <w:pPr>
              <w:spacing w:line="400" w:lineRule="exact"/>
              <w:jc w:val="center"/>
              <w:rPr>
                <w:rFonts w:hint="eastAsia" w:ascii="宋体" w:hAnsi="宋体" w:cs="宋体"/>
                <w:color w:val="auto"/>
                <w:sz w:val="24"/>
                <w:szCs w:val="24"/>
                <w:highlight w:val="none"/>
              </w:rPr>
            </w:pPr>
          </w:p>
        </w:tc>
        <w:tc>
          <w:tcPr>
            <w:tcW w:w="1849" w:type="dxa"/>
            <w:noWrap w:val="0"/>
            <w:vAlign w:val="top"/>
          </w:tcPr>
          <w:p w14:paraId="79FDD7F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监理人员总数</w:t>
            </w:r>
          </w:p>
        </w:tc>
        <w:tc>
          <w:tcPr>
            <w:tcW w:w="2294" w:type="dxa"/>
            <w:noWrap w:val="0"/>
            <w:vAlign w:val="top"/>
          </w:tcPr>
          <w:p w14:paraId="56965AD9">
            <w:pPr>
              <w:spacing w:line="400" w:lineRule="exact"/>
              <w:jc w:val="center"/>
              <w:rPr>
                <w:rFonts w:hint="eastAsia" w:ascii="宋体" w:hAnsi="宋体" w:cs="宋体"/>
                <w:color w:val="auto"/>
                <w:sz w:val="24"/>
                <w:szCs w:val="24"/>
                <w:highlight w:val="none"/>
              </w:rPr>
            </w:pPr>
          </w:p>
        </w:tc>
      </w:tr>
      <w:tr w14:paraId="67B8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7" w:type="dxa"/>
            <w:gridSpan w:val="5"/>
            <w:noWrap w:val="0"/>
            <w:vAlign w:val="top"/>
          </w:tcPr>
          <w:p w14:paraId="08DE17D8">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监理主要内容：</w:t>
            </w:r>
          </w:p>
          <w:p w14:paraId="04EDB794">
            <w:pPr>
              <w:spacing w:line="400" w:lineRule="exact"/>
              <w:rPr>
                <w:rFonts w:hint="eastAsia" w:ascii="宋体" w:hAnsi="宋体" w:cs="宋体"/>
                <w:color w:val="auto"/>
                <w:sz w:val="24"/>
                <w:szCs w:val="24"/>
                <w:highlight w:val="none"/>
              </w:rPr>
            </w:pPr>
          </w:p>
          <w:p w14:paraId="2D0DC38D">
            <w:pPr>
              <w:spacing w:line="400" w:lineRule="exact"/>
              <w:rPr>
                <w:rFonts w:hint="eastAsia" w:ascii="宋体" w:hAnsi="宋体" w:cs="宋体"/>
                <w:color w:val="auto"/>
                <w:sz w:val="24"/>
                <w:szCs w:val="24"/>
                <w:highlight w:val="none"/>
              </w:rPr>
            </w:pPr>
          </w:p>
          <w:p w14:paraId="5722DBE6">
            <w:pPr>
              <w:spacing w:line="400" w:lineRule="exact"/>
              <w:rPr>
                <w:rFonts w:hint="eastAsia" w:ascii="宋体" w:hAnsi="宋体" w:cs="宋体"/>
                <w:color w:val="auto"/>
                <w:sz w:val="24"/>
                <w:szCs w:val="24"/>
                <w:highlight w:val="none"/>
              </w:rPr>
            </w:pPr>
          </w:p>
          <w:p w14:paraId="72016BF0">
            <w:pPr>
              <w:spacing w:line="400" w:lineRule="exact"/>
              <w:rPr>
                <w:rFonts w:hint="eastAsia" w:ascii="宋体" w:hAnsi="宋体" w:cs="宋体"/>
                <w:color w:val="auto"/>
                <w:sz w:val="24"/>
                <w:szCs w:val="24"/>
                <w:highlight w:val="none"/>
              </w:rPr>
            </w:pPr>
          </w:p>
          <w:p w14:paraId="369F0B4B">
            <w:pPr>
              <w:spacing w:line="400" w:lineRule="exact"/>
              <w:rPr>
                <w:rFonts w:hint="eastAsia" w:ascii="宋体" w:hAnsi="宋体" w:cs="宋体"/>
                <w:color w:val="auto"/>
                <w:sz w:val="24"/>
                <w:szCs w:val="24"/>
                <w:highlight w:val="none"/>
              </w:rPr>
            </w:pPr>
          </w:p>
        </w:tc>
      </w:tr>
      <w:tr w14:paraId="1BA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5915501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设计单位</w:t>
            </w:r>
          </w:p>
        </w:tc>
        <w:tc>
          <w:tcPr>
            <w:tcW w:w="6843" w:type="dxa"/>
            <w:gridSpan w:val="3"/>
            <w:noWrap w:val="0"/>
            <w:vAlign w:val="top"/>
          </w:tcPr>
          <w:p w14:paraId="044D2B6C">
            <w:pPr>
              <w:spacing w:line="400" w:lineRule="exact"/>
              <w:jc w:val="center"/>
              <w:rPr>
                <w:rFonts w:hint="eastAsia" w:ascii="宋体" w:hAnsi="宋体" w:cs="宋体"/>
                <w:color w:val="auto"/>
                <w:sz w:val="24"/>
                <w:szCs w:val="24"/>
                <w:highlight w:val="none"/>
              </w:rPr>
            </w:pPr>
          </w:p>
        </w:tc>
      </w:tr>
      <w:tr w14:paraId="09EC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196E93C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施工单位</w:t>
            </w:r>
          </w:p>
        </w:tc>
        <w:tc>
          <w:tcPr>
            <w:tcW w:w="6843" w:type="dxa"/>
            <w:gridSpan w:val="3"/>
            <w:noWrap w:val="0"/>
            <w:vAlign w:val="top"/>
          </w:tcPr>
          <w:p w14:paraId="1AAFF4B9">
            <w:pPr>
              <w:spacing w:line="400" w:lineRule="exact"/>
              <w:jc w:val="center"/>
              <w:rPr>
                <w:rFonts w:hint="eastAsia" w:ascii="宋体" w:hAnsi="宋体" w:cs="宋体"/>
                <w:color w:val="auto"/>
                <w:sz w:val="24"/>
                <w:szCs w:val="24"/>
                <w:highlight w:val="none"/>
              </w:rPr>
            </w:pPr>
          </w:p>
        </w:tc>
      </w:tr>
      <w:tr w14:paraId="1892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restart"/>
            <w:noWrap w:val="0"/>
            <w:vAlign w:val="top"/>
          </w:tcPr>
          <w:p w14:paraId="16F069C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业</w:t>
            </w:r>
          </w:p>
          <w:p w14:paraId="0B298B95">
            <w:pPr>
              <w:spacing w:line="400" w:lineRule="exact"/>
              <w:jc w:val="center"/>
              <w:rPr>
                <w:rFonts w:hint="eastAsia" w:ascii="宋体" w:hAnsi="宋体" w:cs="宋体"/>
                <w:color w:val="auto"/>
                <w:sz w:val="24"/>
                <w:szCs w:val="24"/>
                <w:highlight w:val="none"/>
              </w:rPr>
            </w:pPr>
          </w:p>
          <w:p w14:paraId="78E17C41">
            <w:pPr>
              <w:spacing w:line="400" w:lineRule="exact"/>
              <w:jc w:val="center"/>
              <w:rPr>
                <w:rFonts w:hint="eastAsia" w:ascii="宋体" w:hAnsi="宋体" w:cs="宋体"/>
                <w:color w:val="auto"/>
                <w:sz w:val="24"/>
                <w:szCs w:val="24"/>
                <w:highlight w:val="none"/>
              </w:rPr>
            </w:pPr>
          </w:p>
          <w:p w14:paraId="45545AAE">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主</w:t>
            </w:r>
          </w:p>
        </w:tc>
        <w:tc>
          <w:tcPr>
            <w:tcW w:w="1980" w:type="dxa"/>
            <w:noWrap w:val="0"/>
            <w:vAlign w:val="top"/>
          </w:tcPr>
          <w:p w14:paraId="71E2A07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p>
        </w:tc>
        <w:tc>
          <w:tcPr>
            <w:tcW w:w="6843" w:type="dxa"/>
            <w:gridSpan w:val="3"/>
            <w:noWrap w:val="0"/>
            <w:vAlign w:val="top"/>
          </w:tcPr>
          <w:p w14:paraId="38576FA5">
            <w:pPr>
              <w:spacing w:line="400" w:lineRule="exact"/>
              <w:jc w:val="center"/>
              <w:rPr>
                <w:rFonts w:hint="eastAsia" w:ascii="宋体" w:hAnsi="宋体" w:cs="宋体"/>
                <w:color w:val="auto"/>
                <w:sz w:val="24"/>
                <w:szCs w:val="24"/>
                <w:highlight w:val="none"/>
              </w:rPr>
            </w:pPr>
          </w:p>
        </w:tc>
      </w:tr>
      <w:tr w14:paraId="0128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73845540">
            <w:pPr>
              <w:spacing w:line="400" w:lineRule="exact"/>
              <w:jc w:val="center"/>
              <w:rPr>
                <w:rFonts w:hint="eastAsia" w:ascii="宋体" w:hAnsi="宋体" w:cs="宋体"/>
                <w:color w:val="auto"/>
                <w:sz w:val="24"/>
                <w:szCs w:val="24"/>
                <w:highlight w:val="none"/>
              </w:rPr>
            </w:pPr>
          </w:p>
        </w:tc>
        <w:tc>
          <w:tcPr>
            <w:tcW w:w="1980" w:type="dxa"/>
            <w:noWrap w:val="0"/>
            <w:vAlign w:val="top"/>
          </w:tcPr>
          <w:p w14:paraId="12007B58">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单位地址</w:t>
            </w:r>
          </w:p>
        </w:tc>
        <w:tc>
          <w:tcPr>
            <w:tcW w:w="6843" w:type="dxa"/>
            <w:gridSpan w:val="3"/>
            <w:noWrap w:val="0"/>
            <w:vAlign w:val="top"/>
          </w:tcPr>
          <w:p w14:paraId="2F4EACD8">
            <w:pPr>
              <w:spacing w:line="400" w:lineRule="exact"/>
              <w:jc w:val="center"/>
              <w:rPr>
                <w:rFonts w:hint="eastAsia" w:ascii="宋体" w:hAnsi="宋体" w:cs="宋体"/>
                <w:color w:val="auto"/>
                <w:sz w:val="24"/>
                <w:szCs w:val="24"/>
                <w:highlight w:val="none"/>
              </w:rPr>
            </w:pPr>
          </w:p>
        </w:tc>
      </w:tr>
      <w:tr w14:paraId="5C9A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2A0E2574">
            <w:pPr>
              <w:spacing w:line="400" w:lineRule="exact"/>
              <w:jc w:val="center"/>
              <w:rPr>
                <w:rFonts w:hint="eastAsia" w:ascii="宋体" w:hAnsi="宋体" w:cs="宋体"/>
                <w:color w:val="auto"/>
                <w:sz w:val="24"/>
                <w:szCs w:val="24"/>
                <w:highlight w:val="none"/>
              </w:rPr>
            </w:pPr>
          </w:p>
        </w:tc>
        <w:tc>
          <w:tcPr>
            <w:tcW w:w="1980" w:type="dxa"/>
            <w:noWrap w:val="0"/>
            <w:vAlign w:val="top"/>
          </w:tcPr>
          <w:p w14:paraId="3551CD30">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 系 人</w:t>
            </w:r>
          </w:p>
        </w:tc>
        <w:tc>
          <w:tcPr>
            <w:tcW w:w="6843" w:type="dxa"/>
            <w:gridSpan w:val="3"/>
            <w:noWrap w:val="0"/>
            <w:vAlign w:val="top"/>
          </w:tcPr>
          <w:p w14:paraId="42567F9B">
            <w:pPr>
              <w:spacing w:line="400" w:lineRule="exact"/>
              <w:jc w:val="center"/>
              <w:rPr>
                <w:rFonts w:hint="eastAsia" w:ascii="宋体" w:hAnsi="宋体" w:cs="宋体"/>
                <w:color w:val="auto"/>
                <w:sz w:val="24"/>
                <w:szCs w:val="24"/>
                <w:highlight w:val="none"/>
              </w:rPr>
            </w:pPr>
          </w:p>
        </w:tc>
      </w:tr>
      <w:tr w14:paraId="1A2F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2265A68F">
            <w:pPr>
              <w:spacing w:line="400" w:lineRule="exact"/>
              <w:jc w:val="center"/>
              <w:rPr>
                <w:rFonts w:hint="eastAsia" w:ascii="宋体" w:hAnsi="宋体" w:cs="宋体"/>
                <w:color w:val="auto"/>
                <w:sz w:val="24"/>
                <w:szCs w:val="24"/>
                <w:highlight w:val="none"/>
              </w:rPr>
            </w:pPr>
          </w:p>
        </w:tc>
        <w:tc>
          <w:tcPr>
            <w:tcW w:w="1980" w:type="dxa"/>
            <w:noWrap w:val="0"/>
            <w:vAlign w:val="top"/>
          </w:tcPr>
          <w:p w14:paraId="5AAF916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p>
        </w:tc>
        <w:tc>
          <w:tcPr>
            <w:tcW w:w="6843" w:type="dxa"/>
            <w:gridSpan w:val="3"/>
            <w:noWrap w:val="0"/>
            <w:vAlign w:val="top"/>
          </w:tcPr>
          <w:p w14:paraId="5CE212A0">
            <w:pPr>
              <w:spacing w:line="400" w:lineRule="exact"/>
              <w:jc w:val="center"/>
              <w:rPr>
                <w:rFonts w:hint="eastAsia" w:ascii="宋体" w:hAnsi="宋体" w:cs="宋体"/>
                <w:color w:val="auto"/>
                <w:sz w:val="24"/>
                <w:szCs w:val="24"/>
                <w:highlight w:val="none"/>
              </w:rPr>
            </w:pPr>
          </w:p>
        </w:tc>
      </w:tr>
      <w:tr w14:paraId="29B6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jc w:val="center"/>
        </w:trPr>
        <w:tc>
          <w:tcPr>
            <w:tcW w:w="594" w:type="dxa"/>
            <w:vMerge w:val="continue"/>
            <w:noWrap w:val="0"/>
            <w:vAlign w:val="top"/>
          </w:tcPr>
          <w:p w14:paraId="24F61D80">
            <w:pPr>
              <w:spacing w:line="400" w:lineRule="exact"/>
              <w:jc w:val="center"/>
              <w:rPr>
                <w:rFonts w:hint="eastAsia" w:ascii="宋体" w:hAnsi="宋体" w:cs="宋体"/>
                <w:color w:val="auto"/>
                <w:sz w:val="24"/>
                <w:szCs w:val="24"/>
                <w:highlight w:val="none"/>
              </w:rPr>
            </w:pPr>
          </w:p>
        </w:tc>
        <w:tc>
          <w:tcPr>
            <w:tcW w:w="1980" w:type="dxa"/>
            <w:noWrap w:val="0"/>
            <w:vAlign w:val="top"/>
          </w:tcPr>
          <w:p w14:paraId="4D571837">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传真号码</w:t>
            </w:r>
          </w:p>
        </w:tc>
        <w:tc>
          <w:tcPr>
            <w:tcW w:w="6843" w:type="dxa"/>
            <w:gridSpan w:val="3"/>
            <w:noWrap w:val="0"/>
            <w:vAlign w:val="top"/>
          </w:tcPr>
          <w:p w14:paraId="01465DCC">
            <w:pPr>
              <w:spacing w:line="400" w:lineRule="exact"/>
              <w:jc w:val="center"/>
              <w:rPr>
                <w:rFonts w:hint="eastAsia" w:ascii="宋体" w:hAnsi="宋体" w:cs="宋体"/>
                <w:color w:val="auto"/>
                <w:sz w:val="24"/>
                <w:szCs w:val="24"/>
                <w:highlight w:val="none"/>
              </w:rPr>
            </w:pPr>
          </w:p>
        </w:tc>
      </w:tr>
    </w:tbl>
    <w:p w14:paraId="6B5DE5A3">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注：每个工程一表</w:t>
      </w:r>
    </w:p>
    <w:p w14:paraId="0FF691A6">
      <w:pPr>
        <w:spacing w:line="400" w:lineRule="exact"/>
        <w:rPr>
          <w:rFonts w:hint="eastAsia" w:ascii="宋体" w:hAnsi="宋体" w:cs="宋体"/>
          <w:color w:val="auto"/>
          <w:sz w:val="24"/>
          <w:highlight w:val="none"/>
        </w:rPr>
      </w:pPr>
    </w:p>
    <w:p w14:paraId="20616791">
      <w:pPr>
        <w:spacing w:line="400" w:lineRule="exact"/>
        <w:rPr>
          <w:rFonts w:hint="eastAsia" w:ascii="宋体" w:hAnsi="宋体" w:cs="宋体"/>
          <w:color w:val="auto"/>
          <w:sz w:val="24"/>
          <w:highlight w:val="none"/>
        </w:rPr>
      </w:pPr>
    </w:p>
    <w:p w14:paraId="7E6741B6">
      <w:pPr>
        <w:spacing w:line="400" w:lineRule="exact"/>
        <w:rPr>
          <w:rFonts w:hint="eastAsia" w:ascii="宋体" w:hAnsi="宋体" w:cs="宋体"/>
          <w:color w:val="auto"/>
          <w:sz w:val="24"/>
          <w:highlight w:val="none"/>
        </w:rPr>
      </w:pPr>
    </w:p>
    <w:p w14:paraId="3D128395">
      <w:pPr>
        <w:spacing w:line="400" w:lineRule="exact"/>
        <w:rPr>
          <w:rFonts w:hint="eastAsia" w:ascii="宋体" w:hAnsi="宋体" w:cs="宋体"/>
          <w:color w:val="auto"/>
          <w:sz w:val="24"/>
          <w:highlight w:val="none"/>
        </w:rPr>
      </w:pPr>
    </w:p>
    <w:p w14:paraId="7E9FFBF7">
      <w:pPr>
        <w:spacing w:line="400" w:lineRule="exact"/>
        <w:rPr>
          <w:rFonts w:hint="eastAsia" w:ascii="宋体" w:hAnsi="宋体" w:cs="宋体"/>
          <w:color w:val="auto"/>
          <w:sz w:val="24"/>
          <w:highlight w:val="none"/>
        </w:rPr>
      </w:pPr>
    </w:p>
    <w:p w14:paraId="595815C3">
      <w:pPr>
        <w:spacing w:line="400" w:lineRule="exact"/>
        <w:rPr>
          <w:rFonts w:hint="eastAsia" w:ascii="宋体" w:hAnsi="宋体" w:cs="宋体"/>
          <w:color w:val="auto"/>
          <w:sz w:val="24"/>
          <w:highlight w:val="none"/>
        </w:rPr>
      </w:pPr>
    </w:p>
    <w:p w14:paraId="42F640A2">
      <w:pPr>
        <w:spacing w:line="400" w:lineRule="exact"/>
        <w:rPr>
          <w:rFonts w:hint="eastAsia" w:ascii="宋体" w:hAnsi="宋体" w:cs="宋体"/>
          <w:color w:val="auto"/>
          <w:sz w:val="24"/>
          <w:highlight w:val="none"/>
        </w:rPr>
      </w:pPr>
    </w:p>
    <w:p w14:paraId="0237BCF0">
      <w:pPr>
        <w:spacing w:line="400" w:lineRule="exact"/>
        <w:rPr>
          <w:rFonts w:hint="eastAsia" w:ascii="宋体" w:hAnsi="宋体" w:cs="宋体"/>
          <w:color w:val="auto"/>
          <w:sz w:val="24"/>
          <w:highlight w:val="none"/>
        </w:rPr>
      </w:pPr>
    </w:p>
    <w:p w14:paraId="7A0B7680">
      <w:pPr>
        <w:spacing w:line="400" w:lineRule="exact"/>
        <w:rPr>
          <w:rFonts w:hint="eastAsia" w:ascii="宋体" w:hAnsi="宋体" w:cs="宋体"/>
          <w:color w:val="auto"/>
          <w:sz w:val="24"/>
          <w:highlight w:val="none"/>
        </w:rPr>
      </w:pPr>
    </w:p>
    <w:p w14:paraId="0061E878">
      <w:pPr>
        <w:spacing w:line="400" w:lineRule="exact"/>
        <w:rPr>
          <w:rFonts w:hint="eastAsia" w:ascii="宋体" w:hAnsi="宋体" w:cs="宋体"/>
          <w:color w:val="auto"/>
          <w:sz w:val="24"/>
          <w:highlight w:val="none"/>
        </w:rPr>
      </w:pPr>
    </w:p>
    <w:p w14:paraId="29B3C65B">
      <w:pPr>
        <w:spacing w:line="400" w:lineRule="exact"/>
        <w:rPr>
          <w:rFonts w:hint="eastAsia" w:ascii="宋体" w:hAnsi="宋体" w:cs="宋体"/>
          <w:color w:val="auto"/>
          <w:sz w:val="24"/>
          <w:highlight w:val="none"/>
        </w:rPr>
      </w:pPr>
    </w:p>
    <w:p w14:paraId="7B2A9102">
      <w:pPr>
        <w:spacing w:line="400" w:lineRule="exact"/>
        <w:rPr>
          <w:rFonts w:hint="eastAsia" w:ascii="宋体" w:hAnsi="宋体" w:cs="宋体"/>
          <w:color w:val="auto"/>
          <w:sz w:val="24"/>
          <w:highlight w:val="none"/>
        </w:rPr>
      </w:pPr>
    </w:p>
    <w:p w14:paraId="3F7C6D24">
      <w:pPr>
        <w:spacing w:line="400" w:lineRule="exact"/>
        <w:rPr>
          <w:rFonts w:hint="eastAsia" w:ascii="宋体" w:hAnsi="宋体" w:cs="宋体"/>
          <w:color w:val="auto"/>
          <w:sz w:val="24"/>
          <w:highlight w:val="none"/>
        </w:rPr>
      </w:pPr>
    </w:p>
    <w:p w14:paraId="18BC4BA1">
      <w:pPr>
        <w:spacing w:line="360" w:lineRule="auto"/>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总监理工程师目前正在监理的工程一览表</w:t>
      </w:r>
    </w:p>
    <w:p w14:paraId="5FD19ECC">
      <w:pPr>
        <w:spacing w:line="400" w:lineRule="exact"/>
        <w:rPr>
          <w:rFonts w:hint="eastAsia" w:ascii="宋体" w:hAnsi="宋体" w:cs="宋体"/>
          <w:b/>
          <w:color w:val="auto"/>
          <w:sz w:val="28"/>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80"/>
        <w:gridCol w:w="2700"/>
        <w:gridCol w:w="1849"/>
        <w:gridCol w:w="2011"/>
      </w:tblGrid>
      <w:tr w14:paraId="0650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5FA38865">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工程名称</w:t>
            </w:r>
          </w:p>
        </w:tc>
        <w:tc>
          <w:tcPr>
            <w:tcW w:w="6560" w:type="dxa"/>
            <w:gridSpan w:val="3"/>
            <w:noWrap w:val="0"/>
            <w:vAlign w:val="top"/>
          </w:tcPr>
          <w:p w14:paraId="4FB86552">
            <w:pPr>
              <w:spacing w:line="400" w:lineRule="exact"/>
              <w:jc w:val="center"/>
              <w:rPr>
                <w:rFonts w:hint="eastAsia" w:ascii="宋体" w:hAnsi="宋体" w:cs="宋体"/>
                <w:color w:val="auto"/>
                <w:sz w:val="24"/>
                <w:szCs w:val="24"/>
                <w:highlight w:val="none"/>
              </w:rPr>
            </w:pPr>
          </w:p>
        </w:tc>
      </w:tr>
      <w:tr w14:paraId="016E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8903A24">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项目地点</w:t>
            </w:r>
          </w:p>
        </w:tc>
        <w:tc>
          <w:tcPr>
            <w:tcW w:w="6560" w:type="dxa"/>
            <w:gridSpan w:val="3"/>
            <w:noWrap w:val="0"/>
            <w:vAlign w:val="top"/>
          </w:tcPr>
          <w:p w14:paraId="36F31DE4">
            <w:pPr>
              <w:spacing w:line="400" w:lineRule="exact"/>
              <w:jc w:val="center"/>
              <w:rPr>
                <w:rFonts w:hint="eastAsia" w:ascii="宋体" w:hAnsi="宋体" w:cs="宋体"/>
                <w:color w:val="auto"/>
                <w:sz w:val="24"/>
                <w:szCs w:val="24"/>
                <w:highlight w:val="none"/>
              </w:rPr>
            </w:pPr>
          </w:p>
        </w:tc>
      </w:tr>
      <w:tr w14:paraId="16B7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D7DA659">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工程规模</w:t>
            </w:r>
          </w:p>
        </w:tc>
        <w:tc>
          <w:tcPr>
            <w:tcW w:w="6560" w:type="dxa"/>
            <w:gridSpan w:val="3"/>
            <w:noWrap w:val="0"/>
            <w:vAlign w:val="top"/>
          </w:tcPr>
          <w:p w14:paraId="6A8655EB">
            <w:pPr>
              <w:spacing w:line="400" w:lineRule="exact"/>
              <w:jc w:val="center"/>
              <w:rPr>
                <w:rFonts w:hint="eastAsia" w:ascii="宋体" w:hAnsi="宋体" w:cs="宋体"/>
                <w:color w:val="auto"/>
                <w:sz w:val="24"/>
                <w:szCs w:val="24"/>
                <w:highlight w:val="none"/>
              </w:rPr>
            </w:pPr>
          </w:p>
        </w:tc>
      </w:tr>
      <w:tr w14:paraId="7C00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2AE2266F">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工程等级</w:t>
            </w:r>
          </w:p>
        </w:tc>
        <w:tc>
          <w:tcPr>
            <w:tcW w:w="2700" w:type="dxa"/>
            <w:noWrap w:val="0"/>
            <w:vAlign w:val="top"/>
          </w:tcPr>
          <w:p w14:paraId="4558FA39">
            <w:pPr>
              <w:spacing w:line="400" w:lineRule="exact"/>
              <w:jc w:val="center"/>
              <w:rPr>
                <w:rFonts w:hint="eastAsia" w:ascii="宋体" w:hAnsi="宋体" w:cs="宋体"/>
                <w:color w:val="auto"/>
                <w:sz w:val="24"/>
                <w:szCs w:val="24"/>
                <w:highlight w:val="none"/>
              </w:rPr>
            </w:pPr>
          </w:p>
        </w:tc>
        <w:tc>
          <w:tcPr>
            <w:tcW w:w="1849" w:type="dxa"/>
            <w:noWrap w:val="0"/>
            <w:vAlign w:val="top"/>
          </w:tcPr>
          <w:p w14:paraId="4ACF938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工程造价</w:t>
            </w:r>
          </w:p>
        </w:tc>
        <w:tc>
          <w:tcPr>
            <w:tcW w:w="2011" w:type="dxa"/>
            <w:noWrap w:val="0"/>
            <w:vAlign w:val="top"/>
          </w:tcPr>
          <w:p w14:paraId="6C6AA36F">
            <w:pPr>
              <w:spacing w:line="400" w:lineRule="exact"/>
              <w:jc w:val="center"/>
              <w:rPr>
                <w:rFonts w:hint="eastAsia" w:ascii="宋体" w:hAnsi="宋体" w:cs="宋体"/>
                <w:color w:val="auto"/>
                <w:sz w:val="24"/>
                <w:szCs w:val="24"/>
                <w:highlight w:val="none"/>
              </w:rPr>
            </w:pPr>
          </w:p>
        </w:tc>
      </w:tr>
      <w:tr w14:paraId="6EB7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8E8FDE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开工日期</w:t>
            </w:r>
          </w:p>
        </w:tc>
        <w:tc>
          <w:tcPr>
            <w:tcW w:w="2700" w:type="dxa"/>
            <w:noWrap w:val="0"/>
            <w:vAlign w:val="top"/>
          </w:tcPr>
          <w:p w14:paraId="4AFC3B14">
            <w:pPr>
              <w:spacing w:line="400" w:lineRule="exact"/>
              <w:jc w:val="center"/>
              <w:rPr>
                <w:rFonts w:hint="eastAsia" w:ascii="宋体" w:hAnsi="宋体" w:cs="宋体"/>
                <w:color w:val="auto"/>
                <w:sz w:val="24"/>
                <w:szCs w:val="24"/>
                <w:highlight w:val="none"/>
              </w:rPr>
            </w:pPr>
          </w:p>
        </w:tc>
        <w:tc>
          <w:tcPr>
            <w:tcW w:w="1849" w:type="dxa"/>
            <w:noWrap w:val="0"/>
            <w:vAlign w:val="top"/>
          </w:tcPr>
          <w:p w14:paraId="6EE2D39D">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预计完工时间</w:t>
            </w:r>
          </w:p>
        </w:tc>
        <w:tc>
          <w:tcPr>
            <w:tcW w:w="2011" w:type="dxa"/>
            <w:noWrap w:val="0"/>
            <w:vAlign w:val="top"/>
          </w:tcPr>
          <w:p w14:paraId="26082DCF">
            <w:pPr>
              <w:spacing w:line="400" w:lineRule="exact"/>
              <w:jc w:val="center"/>
              <w:rPr>
                <w:rFonts w:hint="eastAsia" w:ascii="宋体" w:hAnsi="宋体" w:cs="宋体"/>
                <w:color w:val="auto"/>
                <w:sz w:val="24"/>
                <w:szCs w:val="24"/>
                <w:highlight w:val="none"/>
              </w:rPr>
            </w:pPr>
          </w:p>
        </w:tc>
      </w:tr>
      <w:tr w14:paraId="5EC9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49A49E8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结构形式</w:t>
            </w:r>
          </w:p>
        </w:tc>
        <w:tc>
          <w:tcPr>
            <w:tcW w:w="2700" w:type="dxa"/>
            <w:noWrap w:val="0"/>
            <w:vAlign w:val="top"/>
          </w:tcPr>
          <w:p w14:paraId="198EF64F">
            <w:pPr>
              <w:spacing w:line="400" w:lineRule="exact"/>
              <w:jc w:val="center"/>
              <w:rPr>
                <w:rFonts w:hint="eastAsia" w:ascii="宋体" w:hAnsi="宋体" w:cs="宋体"/>
                <w:color w:val="auto"/>
                <w:sz w:val="24"/>
                <w:szCs w:val="24"/>
                <w:highlight w:val="none"/>
              </w:rPr>
            </w:pPr>
          </w:p>
        </w:tc>
        <w:tc>
          <w:tcPr>
            <w:tcW w:w="1849" w:type="dxa"/>
            <w:noWrap w:val="0"/>
            <w:vAlign w:val="top"/>
          </w:tcPr>
          <w:p w14:paraId="232EAD4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监理人员总数</w:t>
            </w:r>
          </w:p>
        </w:tc>
        <w:tc>
          <w:tcPr>
            <w:tcW w:w="2011" w:type="dxa"/>
            <w:noWrap w:val="0"/>
            <w:vAlign w:val="top"/>
          </w:tcPr>
          <w:p w14:paraId="625A5A5D">
            <w:pPr>
              <w:spacing w:line="400" w:lineRule="exact"/>
              <w:jc w:val="center"/>
              <w:rPr>
                <w:rFonts w:hint="eastAsia" w:ascii="宋体" w:hAnsi="宋体" w:cs="宋体"/>
                <w:color w:val="auto"/>
                <w:sz w:val="24"/>
                <w:szCs w:val="24"/>
                <w:highlight w:val="none"/>
              </w:rPr>
            </w:pPr>
          </w:p>
        </w:tc>
      </w:tr>
      <w:tr w14:paraId="74B5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4" w:type="dxa"/>
            <w:gridSpan w:val="5"/>
            <w:noWrap w:val="0"/>
            <w:vAlign w:val="top"/>
          </w:tcPr>
          <w:p w14:paraId="764D01A2">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监理主要内容：</w:t>
            </w:r>
          </w:p>
          <w:p w14:paraId="67EB4723">
            <w:pPr>
              <w:spacing w:line="400" w:lineRule="exact"/>
              <w:rPr>
                <w:rFonts w:hint="eastAsia" w:ascii="宋体" w:hAnsi="宋体" w:cs="宋体"/>
                <w:color w:val="auto"/>
                <w:sz w:val="24"/>
                <w:szCs w:val="24"/>
                <w:highlight w:val="none"/>
              </w:rPr>
            </w:pPr>
          </w:p>
          <w:p w14:paraId="5B5AAEDF">
            <w:pPr>
              <w:spacing w:line="400" w:lineRule="exact"/>
              <w:rPr>
                <w:rFonts w:hint="eastAsia" w:ascii="宋体" w:hAnsi="宋体" w:cs="宋体"/>
                <w:color w:val="auto"/>
                <w:sz w:val="24"/>
                <w:szCs w:val="24"/>
                <w:highlight w:val="none"/>
              </w:rPr>
            </w:pPr>
          </w:p>
          <w:p w14:paraId="3F49FBF0">
            <w:pPr>
              <w:spacing w:line="400" w:lineRule="exact"/>
              <w:rPr>
                <w:rFonts w:hint="eastAsia" w:ascii="宋体" w:hAnsi="宋体" w:cs="宋体"/>
                <w:color w:val="auto"/>
                <w:sz w:val="24"/>
                <w:szCs w:val="24"/>
                <w:highlight w:val="none"/>
              </w:rPr>
            </w:pPr>
          </w:p>
          <w:p w14:paraId="616CB841">
            <w:pPr>
              <w:spacing w:line="400" w:lineRule="exact"/>
              <w:rPr>
                <w:rFonts w:hint="eastAsia" w:ascii="宋体" w:hAnsi="宋体" w:cs="宋体"/>
                <w:color w:val="auto"/>
                <w:sz w:val="24"/>
                <w:szCs w:val="24"/>
                <w:highlight w:val="none"/>
              </w:rPr>
            </w:pPr>
          </w:p>
          <w:p w14:paraId="28DC900A">
            <w:pPr>
              <w:spacing w:line="400" w:lineRule="exact"/>
              <w:rPr>
                <w:rFonts w:hint="eastAsia" w:ascii="宋体" w:hAnsi="宋体" w:cs="宋体"/>
                <w:color w:val="auto"/>
                <w:sz w:val="24"/>
                <w:szCs w:val="24"/>
                <w:highlight w:val="none"/>
              </w:rPr>
            </w:pPr>
          </w:p>
        </w:tc>
      </w:tr>
      <w:tr w14:paraId="6DD7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634A255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设计单位</w:t>
            </w:r>
          </w:p>
        </w:tc>
        <w:tc>
          <w:tcPr>
            <w:tcW w:w="6560" w:type="dxa"/>
            <w:gridSpan w:val="3"/>
            <w:noWrap w:val="0"/>
            <w:vAlign w:val="top"/>
          </w:tcPr>
          <w:p w14:paraId="1A09935D">
            <w:pPr>
              <w:tabs>
                <w:tab w:val="left" w:pos="1485"/>
              </w:tabs>
              <w:spacing w:line="400" w:lineRule="exact"/>
              <w:rPr>
                <w:rFonts w:hint="eastAsia" w:ascii="宋体" w:hAnsi="宋体" w:cs="宋体"/>
                <w:color w:val="auto"/>
                <w:sz w:val="24"/>
                <w:szCs w:val="24"/>
                <w:highlight w:val="none"/>
              </w:rPr>
            </w:pPr>
            <w:r>
              <w:rPr>
                <w:rFonts w:ascii="宋体" w:hAnsi="宋体" w:cs="宋体"/>
                <w:color w:val="auto"/>
                <w:sz w:val="24"/>
                <w:szCs w:val="24"/>
                <w:highlight w:val="none"/>
              </w:rPr>
              <w:tab/>
            </w:r>
          </w:p>
        </w:tc>
      </w:tr>
      <w:tr w14:paraId="792F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gridSpan w:val="2"/>
            <w:noWrap w:val="0"/>
            <w:vAlign w:val="top"/>
          </w:tcPr>
          <w:p w14:paraId="37FCF622">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施工单位</w:t>
            </w:r>
          </w:p>
        </w:tc>
        <w:tc>
          <w:tcPr>
            <w:tcW w:w="6560" w:type="dxa"/>
            <w:gridSpan w:val="3"/>
            <w:noWrap w:val="0"/>
            <w:vAlign w:val="top"/>
          </w:tcPr>
          <w:p w14:paraId="20D70F9A">
            <w:pPr>
              <w:spacing w:line="400" w:lineRule="exact"/>
              <w:jc w:val="center"/>
              <w:rPr>
                <w:rFonts w:hint="eastAsia" w:ascii="宋体" w:hAnsi="宋体" w:cs="宋体"/>
                <w:color w:val="auto"/>
                <w:sz w:val="24"/>
                <w:szCs w:val="24"/>
                <w:highlight w:val="none"/>
              </w:rPr>
            </w:pPr>
          </w:p>
        </w:tc>
      </w:tr>
      <w:tr w14:paraId="49DA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restart"/>
            <w:noWrap w:val="0"/>
            <w:vAlign w:val="top"/>
          </w:tcPr>
          <w:p w14:paraId="1BBBF49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业</w:t>
            </w:r>
          </w:p>
          <w:p w14:paraId="54A46952">
            <w:pPr>
              <w:spacing w:line="400" w:lineRule="exact"/>
              <w:jc w:val="center"/>
              <w:rPr>
                <w:rFonts w:hint="eastAsia" w:ascii="宋体" w:hAnsi="宋体" w:cs="宋体"/>
                <w:color w:val="auto"/>
                <w:sz w:val="24"/>
                <w:szCs w:val="24"/>
                <w:highlight w:val="none"/>
              </w:rPr>
            </w:pPr>
          </w:p>
          <w:p w14:paraId="601FCFC1">
            <w:pPr>
              <w:spacing w:line="400" w:lineRule="exact"/>
              <w:jc w:val="center"/>
              <w:rPr>
                <w:rFonts w:hint="eastAsia" w:ascii="宋体" w:hAnsi="宋体" w:cs="宋体"/>
                <w:color w:val="auto"/>
                <w:sz w:val="24"/>
                <w:szCs w:val="24"/>
                <w:highlight w:val="none"/>
              </w:rPr>
            </w:pPr>
          </w:p>
          <w:p w14:paraId="3EF8067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主</w:t>
            </w:r>
          </w:p>
        </w:tc>
        <w:tc>
          <w:tcPr>
            <w:tcW w:w="1980" w:type="dxa"/>
            <w:noWrap w:val="0"/>
            <w:vAlign w:val="top"/>
          </w:tcPr>
          <w:p w14:paraId="63287885">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单位名称</w:t>
            </w:r>
          </w:p>
        </w:tc>
        <w:tc>
          <w:tcPr>
            <w:tcW w:w="6560" w:type="dxa"/>
            <w:gridSpan w:val="3"/>
            <w:noWrap w:val="0"/>
            <w:vAlign w:val="top"/>
          </w:tcPr>
          <w:p w14:paraId="67E1B40A">
            <w:pPr>
              <w:spacing w:line="400" w:lineRule="exact"/>
              <w:jc w:val="center"/>
              <w:rPr>
                <w:rFonts w:hint="eastAsia" w:ascii="宋体" w:hAnsi="宋体" w:cs="宋体"/>
                <w:color w:val="auto"/>
                <w:sz w:val="24"/>
                <w:szCs w:val="24"/>
                <w:highlight w:val="none"/>
              </w:rPr>
            </w:pPr>
          </w:p>
        </w:tc>
      </w:tr>
      <w:tr w14:paraId="6320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6217189F">
            <w:pPr>
              <w:spacing w:line="400" w:lineRule="exact"/>
              <w:jc w:val="center"/>
              <w:rPr>
                <w:rFonts w:hint="eastAsia" w:ascii="宋体" w:hAnsi="宋体" w:cs="宋体"/>
                <w:color w:val="auto"/>
                <w:sz w:val="24"/>
                <w:szCs w:val="24"/>
                <w:highlight w:val="none"/>
              </w:rPr>
            </w:pPr>
          </w:p>
        </w:tc>
        <w:tc>
          <w:tcPr>
            <w:tcW w:w="1980" w:type="dxa"/>
            <w:noWrap w:val="0"/>
            <w:vAlign w:val="top"/>
          </w:tcPr>
          <w:p w14:paraId="76B4C147">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单位地址</w:t>
            </w:r>
          </w:p>
        </w:tc>
        <w:tc>
          <w:tcPr>
            <w:tcW w:w="6560" w:type="dxa"/>
            <w:gridSpan w:val="3"/>
            <w:noWrap w:val="0"/>
            <w:vAlign w:val="top"/>
          </w:tcPr>
          <w:p w14:paraId="6EB4D3E2">
            <w:pPr>
              <w:spacing w:line="400" w:lineRule="exact"/>
              <w:jc w:val="center"/>
              <w:rPr>
                <w:rFonts w:hint="eastAsia" w:ascii="宋体" w:hAnsi="宋体" w:cs="宋体"/>
                <w:color w:val="auto"/>
                <w:sz w:val="24"/>
                <w:szCs w:val="24"/>
                <w:highlight w:val="none"/>
              </w:rPr>
            </w:pPr>
          </w:p>
        </w:tc>
      </w:tr>
      <w:tr w14:paraId="43AA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3BFB091B">
            <w:pPr>
              <w:spacing w:line="400" w:lineRule="exact"/>
              <w:jc w:val="center"/>
              <w:rPr>
                <w:rFonts w:hint="eastAsia" w:ascii="宋体" w:hAnsi="宋体" w:cs="宋体"/>
                <w:color w:val="auto"/>
                <w:sz w:val="24"/>
                <w:szCs w:val="24"/>
                <w:highlight w:val="none"/>
              </w:rPr>
            </w:pPr>
          </w:p>
        </w:tc>
        <w:tc>
          <w:tcPr>
            <w:tcW w:w="1980" w:type="dxa"/>
            <w:noWrap w:val="0"/>
            <w:vAlign w:val="top"/>
          </w:tcPr>
          <w:p w14:paraId="01186DCA">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 系 人</w:t>
            </w:r>
          </w:p>
        </w:tc>
        <w:tc>
          <w:tcPr>
            <w:tcW w:w="6560" w:type="dxa"/>
            <w:gridSpan w:val="3"/>
            <w:noWrap w:val="0"/>
            <w:vAlign w:val="top"/>
          </w:tcPr>
          <w:p w14:paraId="12B98216">
            <w:pPr>
              <w:spacing w:line="400" w:lineRule="exact"/>
              <w:jc w:val="center"/>
              <w:rPr>
                <w:rFonts w:hint="eastAsia" w:ascii="宋体" w:hAnsi="宋体" w:cs="宋体"/>
                <w:color w:val="auto"/>
                <w:sz w:val="24"/>
                <w:szCs w:val="24"/>
                <w:highlight w:val="none"/>
              </w:rPr>
            </w:pPr>
          </w:p>
        </w:tc>
      </w:tr>
      <w:tr w14:paraId="2548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4" w:type="dxa"/>
            <w:vMerge w:val="continue"/>
            <w:noWrap w:val="0"/>
            <w:vAlign w:val="top"/>
          </w:tcPr>
          <w:p w14:paraId="6E984E35">
            <w:pPr>
              <w:spacing w:line="400" w:lineRule="exact"/>
              <w:jc w:val="center"/>
              <w:rPr>
                <w:rFonts w:hint="eastAsia" w:ascii="宋体" w:hAnsi="宋体" w:cs="宋体"/>
                <w:color w:val="auto"/>
                <w:sz w:val="24"/>
                <w:szCs w:val="24"/>
                <w:highlight w:val="none"/>
              </w:rPr>
            </w:pPr>
          </w:p>
        </w:tc>
        <w:tc>
          <w:tcPr>
            <w:tcW w:w="1980" w:type="dxa"/>
            <w:noWrap w:val="0"/>
            <w:vAlign w:val="top"/>
          </w:tcPr>
          <w:p w14:paraId="08B5713C">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p>
        </w:tc>
        <w:tc>
          <w:tcPr>
            <w:tcW w:w="6560" w:type="dxa"/>
            <w:gridSpan w:val="3"/>
            <w:noWrap w:val="0"/>
            <w:vAlign w:val="top"/>
          </w:tcPr>
          <w:p w14:paraId="5E8FC090">
            <w:pPr>
              <w:spacing w:line="400" w:lineRule="exact"/>
              <w:jc w:val="center"/>
              <w:rPr>
                <w:rFonts w:hint="eastAsia" w:ascii="宋体" w:hAnsi="宋体" w:cs="宋体"/>
                <w:color w:val="auto"/>
                <w:sz w:val="24"/>
                <w:szCs w:val="24"/>
                <w:highlight w:val="none"/>
              </w:rPr>
            </w:pPr>
          </w:p>
        </w:tc>
      </w:tr>
      <w:tr w14:paraId="7A8E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 w:hRule="atLeast"/>
          <w:jc w:val="center"/>
        </w:trPr>
        <w:tc>
          <w:tcPr>
            <w:tcW w:w="594" w:type="dxa"/>
            <w:vMerge w:val="continue"/>
            <w:noWrap w:val="0"/>
            <w:vAlign w:val="top"/>
          </w:tcPr>
          <w:p w14:paraId="72AC421B">
            <w:pPr>
              <w:spacing w:line="400" w:lineRule="exact"/>
              <w:jc w:val="center"/>
              <w:rPr>
                <w:rFonts w:hint="eastAsia" w:ascii="宋体" w:hAnsi="宋体" w:cs="宋体"/>
                <w:color w:val="auto"/>
                <w:sz w:val="24"/>
                <w:szCs w:val="24"/>
                <w:highlight w:val="none"/>
              </w:rPr>
            </w:pPr>
          </w:p>
        </w:tc>
        <w:tc>
          <w:tcPr>
            <w:tcW w:w="1980" w:type="dxa"/>
            <w:noWrap w:val="0"/>
            <w:vAlign w:val="top"/>
          </w:tcPr>
          <w:p w14:paraId="3539FCDB">
            <w:pPr>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传真号码</w:t>
            </w:r>
          </w:p>
        </w:tc>
        <w:tc>
          <w:tcPr>
            <w:tcW w:w="6560" w:type="dxa"/>
            <w:gridSpan w:val="3"/>
            <w:noWrap w:val="0"/>
            <w:vAlign w:val="top"/>
          </w:tcPr>
          <w:p w14:paraId="109E89AF">
            <w:pPr>
              <w:spacing w:line="400" w:lineRule="exact"/>
              <w:jc w:val="center"/>
              <w:rPr>
                <w:rFonts w:hint="eastAsia" w:ascii="宋体" w:hAnsi="宋体" w:cs="宋体"/>
                <w:color w:val="auto"/>
                <w:sz w:val="24"/>
                <w:szCs w:val="24"/>
                <w:highlight w:val="none"/>
              </w:rPr>
            </w:pPr>
          </w:p>
        </w:tc>
      </w:tr>
    </w:tbl>
    <w:p w14:paraId="3F690F16">
      <w:pPr>
        <w:spacing w:line="400" w:lineRule="exact"/>
        <w:rPr>
          <w:rFonts w:hint="eastAsia" w:ascii="宋体" w:hAnsi="宋体" w:cs="宋体"/>
          <w:color w:val="auto"/>
          <w:sz w:val="24"/>
          <w:highlight w:val="none"/>
        </w:rPr>
      </w:pPr>
      <w:r>
        <w:rPr>
          <w:rFonts w:hint="eastAsia" w:ascii="宋体" w:hAnsi="宋体" w:cs="宋体"/>
          <w:color w:val="auto"/>
          <w:sz w:val="24"/>
          <w:highlight w:val="none"/>
        </w:rPr>
        <w:t>注：每个工程一表</w:t>
      </w:r>
    </w:p>
    <w:p w14:paraId="529623A7">
      <w:pPr>
        <w:spacing w:line="400" w:lineRule="exact"/>
        <w:jc w:val="center"/>
        <w:rPr>
          <w:rFonts w:hint="eastAsia" w:ascii="宋体" w:hAnsi="宋体" w:cs="宋体"/>
          <w:b/>
          <w:bCs/>
          <w:color w:val="auto"/>
          <w:sz w:val="36"/>
          <w:highlight w:val="none"/>
        </w:rPr>
      </w:pPr>
      <w:r>
        <w:rPr>
          <w:rFonts w:hint="eastAsia" w:ascii="宋体" w:hAnsi="宋体" w:cs="宋体"/>
          <w:color w:val="auto"/>
          <w:sz w:val="24"/>
          <w:highlight w:val="none"/>
        </w:rPr>
        <w:br w:type="page"/>
      </w:r>
      <w:r>
        <w:rPr>
          <w:rFonts w:hint="eastAsia" w:ascii="宋体" w:hAnsi="宋体" w:eastAsia="宋体" w:cs="Times New Roman"/>
          <w:b/>
          <w:color w:val="auto"/>
          <w:kern w:val="2"/>
          <w:sz w:val="28"/>
          <w:szCs w:val="28"/>
          <w:highlight w:val="none"/>
          <w:lang w:val="en-US" w:eastAsia="zh-CN" w:bidi="ar-SA"/>
        </w:rPr>
        <w:t>投入此次招标工程检测仪器、设备汇总表</w:t>
      </w:r>
    </w:p>
    <w:p w14:paraId="3948F8D7">
      <w:pPr>
        <w:spacing w:line="400" w:lineRule="exact"/>
        <w:jc w:val="center"/>
        <w:rPr>
          <w:rFonts w:hint="eastAsia" w:ascii="宋体" w:hAnsi="宋体" w:cs="宋体"/>
          <w:b/>
          <w:color w:val="auto"/>
          <w:sz w:val="36"/>
          <w:highlight w:val="none"/>
        </w:rPr>
      </w:pPr>
    </w:p>
    <w:p w14:paraId="3FA29C8B">
      <w:pPr>
        <w:spacing w:line="400" w:lineRule="exact"/>
        <w:jc w:val="left"/>
        <w:rPr>
          <w:rFonts w:hint="eastAsia" w:ascii="宋体" w:hAnsi="宋体" w:cs="宋体"/>
          <w:b/>
          <w:color w:val="auto"/>
          <w:sz w:val="24"/>
          <w:highlight w:val="none"/>
        </w:rPr>
      </w:pPr>
      <w:r>
        <w:rPr>
          <w:rFonts w:hint="eastAsia" w:ascii="宋体" w:hAnsi="宋体" w:cs="宋体"/>
          <w:b/>
          <w:color w:val="auto"/>
          <w:sz w:val="24"/>
          <w:highlight w:val="none"/>
        </w:rPr>
        <w:t>工程名称：</w:t>
      </w:r>
    </w:p>
    <w:tbl>
      <w:tblPr>
        <w:tblStyle w:val="25"/>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1560"/>
        <w:gridCol w:w="850"/>
        <w:gridCol w:w="1276"/>
        <w:gridCol w:w="1417"/>
        <w:gridCol w:w="1985"/>
      </w:tblGrid>
      <w:tr w14:paraId="0397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top w:val="single" w:color="auto" w:sz="12" w:space="0"/>
              <w:left w:val="single" w:color="auto" w:sz="12" w:space="0"/>
              <w:bottom w:val="single" w:color="auto" w:sz="12" w:space="0"/>
            </w:tcBorders>
            <w:noWrap w:val="0"/>
            <w:vAlign w:val="center"/>
          </w:tcPr>
          <w:p w14:paraId="09191110">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序号</w:t>
            </w:r>
          </w:p>
        </w:tc>
        <w:tc>
          <w:tcPr>
            <w:tcW w:w="2126" w:type="dxa"/>
            <w:tcBorders>
              <w:top w:val="single" w:color="auto" w:sz="12" w:space="0"/>
              <w:bottom w:val="single" w:color="auto" w:sz="12" w:space="0"/>
            </w:tcBorders>
            <w:noWrap w:val="0"/>
            <w:vAlign w:val="center"/>
          </w:tcPr>
          <w:p w14:paraId="02B8B57B">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仪器、设备名称</w:t>
            </w:r>
          </w:p>
        </w:tc>
        <w:tc>
          <w:tcPr>
            <w:tcW w:w="1560" w:type="dxa"/>
            <w:tcBorders>
              <w:top w:val="single" w:color="auto" w:sz="12" w:space="0"/>
              <w:bottom w:val="single" w:color="auto" w:sz="12" w:space="0"/>
            </w:tcBorders>
            <w:noWrap w:val="0"/>
            <w:vAlign w:val="center"/>
          </w:tcPr>
          <w:p w14:paraId="0B893EAF">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规 格 型 号</w:t>
            </w:r>
          </w:p>
        </w:tc>
        <w:tc>
          <w:tcPr>
            <w:tcW w:w="850" w:type="dxa"/>
            <w:tcBorders>
              <w:top w:val="single" w:color="auto" w:sz="12" w:space="0"/>
              <w:bottom w:val="single" w:color="auto" w:sz="12" w:space="0"/>
            </w:tcBorders>
            <w:noWrap w:val="0"/>
            <w:vAlign w:val="center"/>
          </w:tcPr>
          <w:p w14:paraId="2ED7EA8C">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数量</w:t>
            </w:r>
          </w:p>
        </w:tc>
        <w:tc>
          <w:tcPr>
            <w:tcW w:w="1276" w:type="dxa"/>
            <w:tcBorders>
              <w:top w:val="single" w:color="auto" w:sz="12" w:space="0"/>
              <w:bottom w:val="single" w:color="auto" w:sz="12" w:space="0"/>
            </w:tcBorders>
            <w:noWrap w:val="0"/>
            <w:vAlign w:val="center"/>
          </w:tcPr>
          <w:p w14:paraId="492919A2">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使用情况</w:t>
            </w:r>
          </w:p>
        </w:tc>
        <w:tc>
          <w:tcPr>
            <w:tcW w:w="1417" w:type="dxa"/>
            <w:tcBorders>
              <w:top w:val="single" w:color="auto" w:sz="12" w:space="0"/>
              <w:bottom w:val="single" w:color="auto" w:sz="12" w:space="0"/>
            </w:tcBorders>
            <w:noWrap w:val="0"/>
            <w:vAlign w:val="center"/>
          </w:tcPr>
          <w:p w14:paraId="63DAFD53">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投入时间</w:t>
            </w:r>
          </w:p>
        </w:tc>
        <w:tc>
          <w:tcPr>
            <w:tcW w:w="1985" w:type="dxa"/>
            <w:tcBorders>
              <w:top w:val="single" w:color="auto" w:sz="12" w:space="0"/>
              <w:bottom w:val="single" w:color="auto" w:sz="12" w:space="0"/>
              <w:right w:val="single" w:color="auto" w:sz="12" w:space="0"/>
            </w:tcBorders>
            <w:noWrap w:val="0"/>
            <w:vAlign w:val="center"/>
          </w:tcPr>
          <w:p w14:paraId="63FA7BFA">
            <w:pPr>
              <w:spacing w:line="400" w:lineRule="exact"/>
              <w:jc w:val="center"/>
              <w:rPr>
                <w:rFonts w:hint="eastAsia" w:ascii="宋体" w:hAnsi="宋体" w:cs="宋体"/>
                <w:b/>
                <w:color w:val="auto"/>
                <w:sz w:val="24"/>
                <w:highlight w:val="none"/>
              </w:rPr>
            </w:pPr>
            <w:r>
              <w:rPr>
                <w:rFonts w:hint="eastAsia" w:ascii="宋体" w:hAnsi="宋体" w:cs="宋体"/>
                <w:b/>
                <w:color w:val="auto"/>
                <w:sz w:val="24"/>
                <w:highlight w:val="none"/>
              </w:rPr>
              <w:t>备  注</w:t>
            </w:r>
          </w:p>
        </w:tc>
      </w:tr>
      <w:tr w14:paraId="248C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top w:val="single" w:color="auto" w:sz="12" w:space="0"/>
              <w:left w:val="single" w:color="auto" w:sz="12" w:space="0"/>
            </w:tcBorders>
            <w:noWrap w:val="0"/>
            <w:vAlign w:val="center"/>
          </w:tcPr>
          <w:p w14:paraId="3995ED63">
            <w:pPr>
              <w:spacing w:line="400" w:lineRule="exact"/>
              <w:jc w:val="left"/>
              <w:rPr>
                <w:rFonts w:hint="eastAsia" w:ascii="宋体" w:hAnsi="宋体" w:cs="宋体"/>
                <w:color w:val="auto"/>
                <w:sz w:val="24"/>
                <w:highlight w:val="none"/>
              </w:rPr>
            </w:pPr>
          </w:p>
        </w:tc>
        <w:tc>
          <w:tcPr>
            <w:tcW w:w="2126" w:type="dxa"/>
            <w:tcBorders>
              <w:top w:val="single" w:color="auto" w:sz="12" w:space="0"/>
            </w:tcBorders>
            <w:noWrap w:val="0"/>
            <w:vAlign w:val="center"/>
          </w:tcPr>
          <w:p w14:paraId="50D87C19">
            <w:pPr>
              <w:spacing w:line="400" w:lineRule="exact"/>
              <w:jc w:val="left"/>
              <w:rPr>
                <w:rFonts w:hint="eastAsia" w:ascii="宋体" w:hAnsi="宋体" w:cs="宋体"/>
                <w:color w:val="auto"/>
                <w:sz w:val="24"/>
                <w:highlight w:val="none"/>
              </w:rPr>
            </w:pPr>
          </w:p>
        </w:tc>
        <w:tc>
          <w:tcPr>
            <w:tcW w:w="1560" w:type="dxa"/>
            <w:tcBorders>
              <w:top w:val="single" w:color="auto" w:sz="12" w:space="0"/>
            </w:tcBorders>
            <w:noWrap w:val="0"/>
            <w:vAlign w:val="center"/>
          </w:tcPr>
          <w:p w14:paraId="6A814D40">
            <w:pPr>
              <w:spacing w:line="400" w:lineRule="exact"/>
              <w:jc w:val="left"/>
              <w:rPr>
                <w:rFonts w:hint="eastAsia" w:ascii="宋体" w:hAnsi="宋体" w:cs="宋体"/>
                <w:color w:val="auto"/>
                <w:sz w:val="24"/>
                <w:highlight w:val="none"/>
              </w:rPr>
            </w:pPr>
          </w:p>
        </w:tc>
        <w:tc>
          <w:tcPr>
            <w:tcW w:w="850" w:type="dxa"/>
            <w:tcBorders>
              <w:top w:val="single" w:color="auto" w:sz="12" w:space="0"/>
            </w:tcBorders>
            <w:noWrap w:val="0"/>
            <w:vAlign w:val="center"/>
          </w:tcPr>
          <w:p w14:paraId="46598AF2">
            <w:pPr>
              <w:spacing w:line="400" w:lineRule="exact"/>
              <w:jc w:val="left"/>
              <w:rPr>
                <w:rFonts w:hint="eastAsia" w:ascii="宋体" w:hAnsi="宋体" w:cs="宋体"/>
                <w:color w:val="auto"/>
                <w:sz w:val="24"/>
                <w:highlight w:val="none"/>
              </w:rPr>
            </w:pPr>
          </w:p>
        </w:tc>
        <w:tc>
          <w:tcPr>
            <w:tcW w:w="1276" w:type="dxa"/>
            <w:tcBorders>
              <w:top w:val="single" w:color="auto" w:sz="12" w:space="0"/>
            </w:tcBorders>
            <w:noWrap w:val="0"/>
            <w:vAlign w:val="center"/>
          </w:tcPr>
          <w:p w14:paraId="1A50CA64">
            <w:pPr>
              <w:spacing w:line="400" w:lineRule="exact"/>
              <w:jc w:val="left"/>
              <w:rPr>
                <w:rFonts w:hint="eastAsia" w:ascii="宋体" w:hAnsi="宋体" w:cs="宋体"/>
                <w:color w:val="auto"/>
                <w:sz w:val="24"/>
                <w:highlight w:val="none"/>
              </w:rPr>
            </w:pPr>
          </w:p>
        </w:tc>
        <w:tc>
          <w:tcPr>
            <w:tcW w:w="1417" w:type="dxa"/>
            <w:tcBorders>
              <w:top w:val="single" w:color="auto" w:sz="12" w:space="0"/>
            </w:tcBorders>
            <w:noWrap w:val="0"/>
            <w:vAlign w:val="center"/>
          </w:tcPr>
          <w:p w14:paraId="75A74019">
            <w:pPr>
              <w:spacing w:line="400" w:lineRule="exact"/>
              <w:jc w:val="left"/>
              <w:rPr>
                <w:rFonts w:hint="eastAsia" w:ascii="宋体" w:hAnsi="宋体" w:cs="宋体"/>
                <w:color w:val="auto"/>
                <w:sz w:val="24"/>
                <w:highlight w:val="none"/>
              </w:rPr>
            </w:pPr>
          </w:p>
        </w:tc>
        <w:tc>
          <w:tcPr>
            <w:tcW w:w="1985" w:type="dxa"/>
            <w:tcBorders>
              <w:top w:val="single" w:color="auto" w:sz="12" w:space="0"/>
              <w:right w:val="single" w:color="auto" w:sz="12" w:space="0"/>
            </w:tcBorders>
            <w:noWrap w:val="0"/>
            <w:vAlign w:val="center"/>
          </w:tcPr>
          <w:p w14:paraId="519A7ACE">
            <w:pPr>
              <w:spacing w:line="400" w:lineRule="exact"/>
              <w:jc w:val="left"/>
              <w:rPr>
                <w:rFonts w:hint="eastAsia" w:ascii="宋体" w:hAnsi="宋体" w:cs="宋体"/>
                <w:color w:val="auto"/>
                <w:sz w:val="24"/>
                <w:highlight w:val="none"/>
              </w:rPr>
            </w:pPr>
          </w:p>
        </w:tc>
      </w:tr>
      <w:tr w14:paraId="2C2B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761D15F6">
            <w:pPr>
              <w:spacing w:line="400" w:lineRule="exact"/>
              <w:jc w:val="left"/>
              <w:rPr>
                <w:rFonts w:hint="eastAsia" w:ascii="宋体" w:hAnsi="宋体" w:cs="宋体"/>
                <w:color w:val="auto"/>
                <w:sz w:val="24"/>
                <w:highlight w:val="none"/>
              </w:rPr>
            </w:pPr>
          </w:p>
        </w:tc>
        <w:tc>
          <w:tcPr>
            <w:tcW w:w="2126" w:type="dxa"/>
            <w:noWrap w:val="0"/>
            <w:vAlign w:val="center"/>
          </w:tcPr>
          <w:p w14:paraId="6A1728F8">
            <w:pPr>
              <w:spacing w:line="400" w:lineRule="exact"/>
              <w:jc w:val="left"/>
              <w:rPr>
                <w:rFonts w:hint="eastAsia" w:ascii="宋体" w:hAnsi="宋体" w:cs="宋体"/>
                <w:color w:val="auto"/>
                <w:sz w:val="24"/>
                <w:highlight w:val="none"/>
              </w:rPr>
            </w:pPr>
          </w:p>
        </w:tc>
        <w:tc>
          <w:tcPr>
            <w:tcW w:w="1560" w:type="dxa"/>
            <w:noWrap w:val="0"/>
            <w:vAlign w:val="center"/>
          </w:tcPr>
          <w:p w14:paraId="657518E1">
            <w:pPr>
              <w:spacing w:line="400" w:lineRule="exact"/>
              <w:jc w:val="left"/>
              <w:rPr>
                <w:rFonts w:hint="eastAsia" w:ascii="宋体" w:hAnsi="宋体" w:cs="宋体"/>
                <w:color w:val="auto"/>
                <w:sz w:val="24"/>
                <w:highlight w:val="none"/>
              </w:rPr>
            </w:pPr>
          </w:p>
        </w:tc>
        <w:tc>
          <w:tcPr>
            <w:tcW w:w="850" w:type="dxa"/>
            <w:noWrap w:val="0"/>
            <w:vAlign w:val="center"/>
          </w:tcPr>
          <w:p w14:paraId="39C220BF">
            <w:pPr>
              <w:spacing w:line="400" w:lineRule="exact"/>
              <w:jc w:val="left"/>
              <w:rPr>
                <w:rFonts w:hint="eastAsia" w:ascii="宋体" w:hAnsi="宋体" w:cs="宋体"/>
                <w:color w:val="auto"/>
                <w:sz w:val="24"/>
                <w:highlight w:val="none"/>
              </w:rPr>
            </w:pPr>
          </w:p>
        </w:tc>
        <w:tc>
          <w:tcPr>
            <w:tcW w:w="1276" w:type="dxa"/>
            <w:noWrap w:val="0"/>
            <w:vAlign w:val="center"/>
          </w:tcPr>
          <w:p w14:paraId="41539717">
            <w:pPr>
              <w:spacing w:line="400" w:lineRule="exact"/>
              <w:jc w:val="left"/>
              <w:rPr>
                <w:rFonts w:hint="eastAsia" w:ascii="宋体" w:hAnsi="宋体" w:cs="宋体"/>
                <w:color w:val="auto"/>
                <w:sz w:val="24"/>
                <w:highlight w:val="none"/>
              </w:rPr>
            </w:pPr>
          </w:p>
        </w:tc>
        <w:tc>
          <w:tcPr>
            <w:tcW w:w="1417" w:type="dxa"/>
            <w:noWrap w:val="0"/>
            <w:vAlign w:val="center"/>
          </w:tcPr>
          <w:p w14:paraId="0EE33FE5">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246592B2">
            <w:pPr>
              <w:spacing w:line="400" w:lineRule="exact"/>
              <w:jc w:val="left"/>
              <w:rPr>
                <w:rFonts w:hint="eastAsia" w:ascii="宋体" w:hAnsi="宋体" w:cs="宋体"/>
                <w:color w:val="auto"/>
                <w:sz w:val="24"/>
                <w:highlight w:val="none"/>
              </w:rPr>
            </w:pPr>
          </w:p>
        </w:tc>
      </w:tr>
      <w:tr w14:paraId="0064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657395DF">
            <w:pPr>
              <w:spacing w:line="400" w:lineRule="exact"/>
              <w:jc w:val="left"/>
              <w:rPr>
                <w:rFonts w:hint="eastAsia" w:ascii="宋体" w:hAnsi="宋体" w:cs="宋体"/>
                <w:color w:val="auto"/>
                <w:sz w:val="24"/>
                <w:highlight w:val="none"/>
              </w:rPr>
            </w:pPr>
          </w:p>
        </w:tc>
        <w:tc>
          <w:tcPr>
            <w:tcW w:w="2126" w:type="dxa"/>
            <w:noWrap w:val="0"/>
            <w:vAlign w:val="center"/>
          </w:tcPr>
          <w:p w14:paraId="55871B06">
            <w:pPr>
              <w:spacing w:line="400" w:lineRule="exact"/>
              <w:jc w:val="left"/>
              <w:rPr>
                <w:rFonts w:hint="eastAsia" w:ascii="宋体" w:hAnsi="宋体" w:cs="宋体"/>
                <w:color w:val="auto"/>
                <w:sz w:val="24"/>
                <w:highlight w:val="none"/>
              </w:rPr>
            </w:pPr>
          </w:p>
        </w:tc>
        <w:tc>
          <w:tcPr>
            <w:tcW w:w="1560" w:type="dxa"/>
            <w:noWrap w:val="0"/>
            <w:vAlign w:val="center"/>
          </w:tcPr>
          <w:p w14:paraId="464D0424">
            <w:pPr>
              <w:spacing w:line="400" w:lineRule="exact"/>
              <w:jc w:val="left"/>
              <w:rPr>
                <w:rFonts w:hint="eastAsia" w:ascii="宋体" w:hAnsi="宋体" w:cs="宋体"/>
                <w:color w:val="auto"/>
                <w:sz w:val="24"/>
                <w:highlight w:val="none"/>
              </w:rPr>
            </w:pPr>
          </w:p>
        </w:tc>
        <w:tc>
          <w:tcPr>
            <w:tcW w:w="850" w:type="dxa"/>
            <w:noWrap w:val="0"/>
            <w:vAlign w:val="center"/>
          </w:tcPr>
          <w:p w14:paraId="219C6725">
            <w:pPr>
              <w:spacing w:line="400" w:lineRule="exact"/>
              <w:jc w:val="left"/>
              <w:rPr>
                <w:rFonts w:hint="eastAsia" w:ascii="宋体" w:hAnsi="宋体" w:cs="宋体"/>
                <w:color w:val="auto"/>
                <w:sz w:val="24"/>
                <w:highlight w:val="none"/>
              </w:rPr>
            </w:pPr>
          </w:p>
        </w:tc>
        <w:tc>
          <w:tcPr>
            <w:tcW w:w="1276" w:type="dxa"/>
            <w:noWrap w:val="0"/>
            <w:vAlign w:val="center"/>
          </w:tcPr>
          <w:p w14:paraId="37558DEB">
            <w:pPr>
              <w:spacing w:line="400" w:lineRule="exact"/>
              <w:jc w:val="left"/>
              <w:rPr>
                <w:rFonts w:hint="eastAsia" w:ascii="宋体" w:hAnsi="宋体" w:cs="宋体"/>
                <w:color w:val="auto"/>
                <w:sz w:val="24"/>
                <w:highlight w:val="none"/>
              </w:rPr>
            </w:pPr>
          </w:p>
        </w:tc>
        <w:tc>
          <w:tcPr>
            <w:tcW w:w="1417" w:type="dxa"/>
            <w:noWrap w:val="0"/>
            <w:vAlign w:val="center"/>
          </w:tcPr>
          <w:p w14:paraId="4EE6EA58">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0F3B36E3">
            <w:pPr>
              <w:spacing w:line="400" w:lineRule="exact"/>
              <w:jc w:val="left"/>
              <w:rPr>
                <w:rFonts w:hint="eastAsia" w:ascii="宋体" w:hAnsi="宋体" w:cs="宋体"/>
                <w:color w:val="auto"/>
                <w:sz w:val="24"/>
                <w:highlight w:val="none"/>
              </w:rPr>
            </w:pPr>
          </w:p>
        </w:tc>
      </w:tr>
      <w:tr w14:paraId="6941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6635CD2E">
            <w:pPr>
              <w:spacing w:line="400" w:lineRule="exact"/>
              <w:jc w:val="left"/>
              <w:rPr>
                <w:rFonts w:hint="eastAsia" w:ascii="宋体" w:hAnsi="宋体" w:cs="宋体"/>
                <w:color w:val="auto"/>
                <w:sz w:val="24"/>
                <w:highlight w:val="none"/>
              </w:rPr>
            </w:pPr>
          </w:p>
        </w:tc>
        <w:tc>
          <w:tcPr>
            <w:tcW w:w="2126" w:type="dxa"/>
            <w:noWrap w:val="0"/>
            <w:vAlign w:val="center"/>
          </w:tcPr>
          <w:p w14:paraId="419D4F78">
            <w:pPr>
              <w:spacing w:line="400" w:lineRule="exact"/>
              <w:jc w:val="left"/>
              <w:rPr>
                <w:rFonts w:hint="eastAsia" w:ascii="宋体" w:hAnsi="宋体" w:cs="宋体"/>
                <w:color w:val="auto"/>
                <w:sz w:val="24"/>
                <w:highlight w:val="none"/>
              </w:rPr>
            </w:pPr>
          </w:p>
        </w:tc>
        <w:tc>
          <w:tcPr>
            <w:tcW w:w="1560" w:type="dxa"/>
            <w:noWrap w:val="0"/>
            <w:vAlign w:val="center"/>
          </w:tcPr>
          <w:p w14:paraId="4590B969">
            <w:pPr>
              <w:spacing w:line="400" w:lineRule="exact"/>
              <w:jc w:val="left"/>
              <w:rPr>
                <w:rFonts w:hint="eastAsia" w:ascii="宋体" w:hAnsi="宋体" w:cs="宋体"/>
                <w:color w:val="auto"/>
                <w:sz w:val="24"/>
                <w:highlight w:val="none"/>
              </w:rPr>
            </w:pPr>
          </w:p>
        </w:tc>
        <w:tc>
          <w:tcPr>
            <w:tcW w:w="850" w:type="dxa"/>
            <w:noWrap w:val="0"/>
            <w:vAlign w:val="center"/>
          </w:tcPr>
          <w:p w14:paraId="78FD35ED">
            <w:pPr>
              <w:spacing w:line="400" w:lineRule="exact"/>
              <w:jc w:val="left"/>
              <w:rPr>
                <w:rFonts w:hint="eastAsia" w:ascii="宋体" w:hAnsi="宋体" w:cs="宋体"/>
                <w:color w:val="auto"/>
                <w:sz w:val="24"/>
                <w:highlight w:val="none"/>
              </w:rPr>
            </w:pPr>
          </w:p>
        </w:tc>
        <w:tc>
          <w:tcPr>
            <w:tcW w:w="1276" w:type="dxa"/>
            <w:noWrap w:val="0"/>
            <w:vAlign w:val="center"/>
          </w:tcPr>
          <w:p w14:paraId="7ECF4A2E">
            <w:pPr>
              <w:spacing w:line="400" w:lineRule="exact"/>
              <w:jc w:val="left"/>
              <w:rPr>
                <w:rFonts w:hint="eastAsia" w:ascii="宋体" w:hAnsi="宋体" w:cs="宋体"/>
                <w:color w:val="auto"/>
                <w:sz w:val="24"/>
                <w:highlight w:val="none"/>
              </w:rPr>
            </w:pPr>
          </w:p>
        </w:tc>
        <w:tc>
          <w:tcPr>
            <w:tcW w:w="1417" w:type="dxa"/>
            <w:noWrap w:val="0"/>
            <w:vAlign w:val="center"/>
          </w:tcPr>
          <w:p w14:paraId="62F36F99">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207AD79C">
            <w:pPr>
              <w:spacing w:line="400" w:lineRule="exact"/>
              <w:jc w:val="left"/>
              <w:rPr>
                <w:rFonts w:hint="eastAsia" w:ascii="宋体" w:hAnsi="宋体" w:cs="宋体"/>
                <w:color w:val="auto"/>
                <w:sz w:val="24"/>
                <w:highlight w:val="none"/>
              </w:rPr>
            </w:pPr>
          </w:p>
        </w:tc>
      </w:tr>
      <w:tr w14:paraId="747B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738A6228">
            <w:pPr>
              <w:spacing w:line="400" w:lineRule="exact"/>
              <w:jc w:val="left"/>
              <w:rPr>
                <w:rFonts w:hint="eastAsia" w:ascii="宋体" w:hAnsi="宋体" w:cs="宋体"/>
                <w:color w:val="auto"/>
                <w:sz w:val="24"/>
                <w:highlight w:val="none"/>
              </w:rPr>
            </w:pPr>
          </w:p>
        </w:tc>
        <w:tc>
          <w:tcPr>
            <w:tcW w:w="2126" w:type="dxa"/>
            <w:noWrap w:val="0"/>
            <w:vAlign w:val="center"/>
          </w:tcPr>
          <w:p w14:paraId="5B08AD67">
            <w:pPr>
              <w:spacing w:line="400" w:lineRule="exact"/>
              <w:jc w:val="left"/>
              <w:rPr>
                <w:rFonts w:hint="eastAsia" w:ascii="宋体" w:hAnsi="宋体" w:cs="宋体"/>
                <w:color w:val="auto"/>
                <w:sz w:val="24"/>
                <w:highlight w:val="none"/>
              </w:rPr>
            </w:pPr>
          </w:p>
        </w:tc>
        <w:tc>
          <w:tcPr>
            <w:tcW w:w="1560" w:type="dxa"/>
            <w:noWrap w:val="0"/>
            <w:vAlign w:val="center"/>
          </w:tcPr>
          <w:p w14:paraId="120001D1">
            <w:pPr>
              <w:spacing w:line="400" w:lineRule="exact"/>
              <w:jc w:val="left"/>
              <w:rPr>
                <w:rFonts w:hint="eastAsia" w:ascii="宋体" w:hAnsi="宋体" w:cs="宋体"/>
                <w:color w:val="auto"/>
                <w:sz w:val="24"/>
                <w:highlight w:val="none"/>
              </w:rPr>
            </w:pPr>
          </w:p>
        </w:tc>
        <w:tc>
          <w:tcPr>
            <w:tcW w:w="850" w:type="dxa"/>
            <w:noWrap w:val="0"/>
            <w:vAlign w:val="center"/>
          </w:tcPr>
          <w:p w14:paraId="143F8D94">
            <w:pPr>
              <w:spacing w:line="400" w:lineRule="exact"/>
              <w:jc w:val="left"/>
              <w:rPr>
                <w:rFonts w:hint="eastAsia" w:ascii="宋体" w:hAnsi="宋体" w:cs="宋体"/>
                <w:color w:val="auto"/>
                <w:sz w:val="24"/>
                <w:highlight w:val="none"/>
              </w:rPr>
            </w:pPr>
          </w:p>
        </w:tc>
        <w:tc>
          <w:tcPr>
            <w:tcW w:w="1276" w:type="dxa"/>
            <w:noWrap w:val="0"/>
            <w:vAlign w:val="center"/>
          </w:tcPr>
          <w:p w14:paraId="3E087272">
            <w:pPr>
              <w:spacing w:line="400" w:lineRule="exact"/>
              <w:jc w:val="left"/>
              <w:rPr>
                <w:rFonts w:hint="eastAsia" w:ascii="宋体" w:hAnsi="宋体" w:cs="宋体"/>
                <w:color w:val="auto"/>
                <w:sz w:val="24"/>
                <w:highlight w:val="none"/>
              </w:rPr>
            </w:pPr>
          </w:p>
        </w:tc>
        <w:tc>
          <w:tcPr>
            <w:tcW w:w="1417" w:type="dxa"/>
            <w:noWrap w:val="0"/>
            <w:vAlign w:val="center"/>
          </w:tcPr>
          <w:p w14:paraId="31ADFE97">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4CAE989B">
            <w:pPr>
              <w:spacing w:line="400" w:lineRule="exact"/>
              <w:jc w:val="left"/>
              <w:rPr>
                <w:rFonts w:hint="eastAsia" w:ascii="宋体" w:hAnsi="宋体" w:cs="宋体"/>
                <w:color w:val="auto"/>
                <w:sz w:val="24"/>
                <w:highlight w:val="none"/>
              </w:rPr>
            </w:pPr>
          </w:p>
        </w:tc>
      </w:tr>
      <w:tr w14:paraId="653D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5C89D4BE">
            <w:pPr>
              <w:spacing w:line="400" w:lineRule="exact"/>
              <w:jc w:val="left"/>
              <w:rPr>
                <w:rFonts w:hint="eastAsia" w:ascii="宋体" w:hAnsi="宋体" w:cs="宋体"/>
                <w:color w:val="auto"/>
                <w:sz w:val="24"/>
                <w:highlight w:val="none"/>
              </w:rPr>
            </w:pPr>
          </w:p>
        </w:tc>
        <w:tc>
          <w:tcPr>
            <w:tcW w:w="2126" w:type="dxa"/>
            <w:noWrap w:val="0"/>
            <w:vAlign w:val="center"/>
          </w:tcPr>
          <w:p w14:paraId="1196DE41">
            <w:pPr>
              <w:spacing w:line="400" w:lineRule="exact"/>
              <w:jc w:val="left"/>
              <w:rPr>
                <w:rFonts w:hint="eastAsia" w:ascii="宋体" w:hAnsi="宋体" w:cs="宋体"/>
                <w:color w:val="auto"/>
                <w:sz w:val="24"/>
                <w:highlight w:val="none"/>
              </w:rPr>
            </w:pPr>
          </w:p>
        </w:tc>
        <w:tc>
          <w:tcPr>
            <w:tcW w:w="1560" w:type="dxa"/>
            <w:noWrap w:val="0"/>
            <w:vAlign w:val="center"/>
          </w:tcPr>
          <w:p w14:paraId="1CCBE599">
            <w:pPr>
              <w:spacing w:line="400" w:lineRule="exact"/>
              <w:jc w:val="left"/>
              <w:rPr>
                <w:rFonts w:hint="eastAsia" w:ascii="宋体" w:hAnsi="宋体" w:cs="宋体"/>
                <w:color w:val="auto"/>
                <w:sz w:val="24"/>
                <w:highlight w:val="none"/>
              </w:rPr>
            </w:pPr>
          </w:p>
        </w:tc>
        <w:tc>
          <w:tcPr>
            <w:tcW w:w="850" w:type="dxa"/>
            <w:noWrap w:val="0"/>
            <w:vAlign w:val="center"/>
          </w:tcPr>
          <w:p w14:paraId="470328AC">
            <w:pPr>
              <w:spacing w:line="400" w:lineRule="exact"/>
              <w:jc w:val="left"/>
              <w:rPr>
                <w:rFonts w:hint="eastAsia" w:ascii="宋体" w:hAnsi="宋体" w:cs="宋体"/>
                <w:color w:val="auto"/>
                <w:sz w:val="24"/>
                <w:highlight w:val="none"/>
              </w:rPr>
            </w:pPr>
          </w:p>
        </w:tc>
        <w:tc>
          <w:tcPr>
            <w:tcW w:w="1276" w:type="dxa"/>
            <w:noWrap w:val="0"/>
            <w:vAlign w:val="center"/>
          </w:tcPr>
          <w:p w14:paraId="7A1F935A">
            <w:pPr>
              <w:spacing w:line="400" w:lineRule="exact"/>
              <w:jc w:val="left"/>
              <w:rPr>
                <w:rFonts w:hint="eastAsia" w:ascii="宋体" w:hAnsi="宋体" w:cs="宋体"/>
                <w:color w:val="auto"/>
                <w:sz w:val="24"/>
                <w:highlight w:val="none"/>
              </w:rPr>
            </w:pPr>
          </w:p>
        </w:tc>
        <w:tc>
          <w:tcPr>
            <w:tcW w:w="1417" w:type="dxa"/>
            <w:noWrap w:val="0"/>
            <w:vAlign w:val="center"/>
          </w:tcPr>
          <w:p w14:paraId="1FFCE797">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74DD58F8">
            <w:pPr>
              <w:spacing w:line="400" w:lineRule="exact"/>
              <w:jc w:val="left"/>
              <w:rPr>
                <w:rFonts w:hint="eastAsia" w:ascii="宋体" w:hAnsi="宋体" w:cs="宋体"/>
                <w:color w:val="auto"/>
                <w:sz w:val="24"/>
                <w:highlight w:val="none"/>
              </w:rPr>
            </w:pPr>
          </w:p>
        </w:tc>
      </w:tr>
      <w:tr w14:paraId="64F3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492AD3B9">
            <w:pPr>
              <w:spacing w:line="400" w:lineRule="exact"/>
              <w:jc w:val="left"/>
              <w:rPr>
                <w:rFonts w:hint="eastAsia" w:ascii="宋体" w:hAnsi="宋体" w:cs="宋体"/>
                <w:color w:val="auto"/>
                <w:sz w:val="24"/>
                <w:highlight w:val="none"/>
              </w:rPr>
            </w:pPr>
          </w:p>
        </w:tc>
        <w:tc>
          <w:tcPr>
            <w:tcW w:w="2126" w:type="dxa"/>
            <w:noWrap w:val="0"/>
            <w:vAlign w:val="center"/>
          </w:tcPr>
          <w:p w14:paraId="1A3E2985">
            <w:pPr>
              <w:spacing w:line="400" w:lineRule="exact"/>
              <w:jc w:val="left"/>
              <w:rPr>
                <w:rFonts w:hint="eastAsia" w:ascii="宋体" w:hAnsi="宋体" w:cs="宋体"/>
                <w:color w:val="auto"/>
                <w:sz w:val="24"/>
                <w:highlight w:val="none"/>
              </w:rPr>
            </w:pPr>
          </w:p>
        </w:tc>
        <w:tc>
          <w:tcPr>
            <w:tcW w:w="1560" w:type="dxa"/>
            <w:noWrap w:val="0"/>
            <w:vAlign w:val="center"/>
          </w:tcPr>
          <w:p w14:paraId="3DEB7602">
            <w:pPr>
              <w:spacing w:line="400" w:lineRule="exact"/>
              <w:jc w:val="left"/>
              <w:rPr>
                <w:rFonts w:hint="eastAsia" w:ascii="宋体" w:hAnsi="宋体" w:cs="宋体"/>
                <w:color w:val="auto"/>
                <w:sz w:val="24"/>
                <w:highlight w:val="none"/>
              </w:rPr>
            </w:pPr>
          </w:p>
        </w:tc>
        <w:tc>
          <w:tcPr>
            <w:tcW w:w="850" w:type="dxa"/>
            <w:noWrap w:val="0"/>
            <w:vAlign w:val="center"/>
          </w:tcPr>
          <w:p w14:paraId="2ACF9205">
            <w:pPr>
              <w:spacing w:line="400" w:lineRule="exact"/>
              <w:jc w:val="left"/>
              <w:rPr>
                <w:rFonts w:hint="eastAsia" w:ascii="宋体" w:hAnsi="宋体" w:cs="宋体"/>
                <w:color w:val="auto"/>
                <w:sz w:val="24"/>
                <w:highlight w:val="none"/>
              </w:rPr>
            </w:pPr>
          </w:p>
        </w:tc>
        <w:tc>
          <w:tcPr>
            <w:tcW w:w="1276" w:type="dxa"/>
            <w:noWrap w:val="0"/>
            <w:vAlign w:val="center"/>
          </w:tcPr>
          <w:p w14:paraId="50AD856D">
            <w:pPr>
              <w:spacing w:line="400" w:lineRule="exact"/>
              <w:jc w:val="left"/>
              <w:rPr>
                <w:rFonts w:hint="eastAsia" w:ascii="宋体" w:hAnsi="宋体" w:cs="宋体"/>
                <w:color w:val="auto"/>
                <w:sz w:val="24"/>
                <w:highlight w:val="none"/>
              </w:rPr>
            </w:pPr>
          </w:p>
        </w:tc>
        <w:tc>
          <w:tcPr>
            <w:tcW w:w="1417" w:type="dxa"/>
            <w:noWrap w:val="0"/>
            <w:vAlign w:val="center"/>
          </w:tcPr>
          <w:p w14:paraId="7D6D8C32">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1A30D694">
            <w:pPr>
              <w:spacing w:line="400" w:lineRule="exact"/>
              <w:jc w:val="left"/>
              <w:rPr>
                <w:rFonts w:hint="eastAsia" w:ascii="宋体" w:hAnsi="宋体" w:cs="宋体"/>
                <w:color w:val="auto"/>
                <w:sz w:val="24"/>
                <w:highlight w:val="none"/>
              </w:rPr>
            </w:pPr>
          </w:p>
        </w:tc>
      </w:tr>
      <w:tr w14:paraId="50EF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5A4A36C6">
            <w:pPr>
              <w:spacing w:line="400" w:lineRule="exact"/>
              <w:jc w:val="left"/>
              <w:rPr>
                <w:rFonts w:hint="eastAsia" w:ascii="宋体" w:hAnsi="宋体" w:cs="宋体"/>
                <w:color w:val="auto"/>
                <w:sz w:val="24"/>
                <w:highlight w:val="none"/>
              </w:rPr>
            </w:pPr>
          </w:p>
        </w:tc>
        <w:tc>
          <w:tcPr>
            <w:tcW w:w="2126" w:type="dxa"/>
            <w:noWrap w:val="0"/>
            <w:vAlign w:val="center"/>
          </w:tcPr>
          <w:p w14:paraId="064D27B0">
            <w:pPr>
              <w:spacing w:line="400" w:lineRule="exact"/>
              <w:jc w:val="left"/>
              <w:rPr>
                <w:rFonts w:hint="eastAsia" w:ascii="宋体" w:hAnsi="宋体" w:cs="宋体"/>
                <w:color w:val="auto"/>
                <w:sz w:val="24"/>
                <w:highlight w:val="none"/>
              </w:rPr>
            </w:pPr>
          </w:p>
        </w:tc>
        <w:tc>
          <w:tcPr>
            <w:tcW w:w="1560" w:type="dxa"/>
            <w:noWrap w:val="0"/>
            <w:vAlign w:val="center"/>
          </w:tcPr>
          <w:p w14:paraId="1247E872">
            <w:pPr>
              <w:spacing w:line="400" w:lineRule="exact"/>
              <w:jc w:val="left"/>
              <w:rPr>
                <w:rFonts w:hint="eastAsia" w:ascii="宋体" w:hAnsi="宋体" w:cs="宋体"/>
                <w:color w:val="auto"/>
                <w:sz w:val="24"/>
                <w:highlight w:val="none"/>
              </w:rPr>
            </w:pPr>
          </w:p>
        </w:tc>
        <w:tc>
          <w:tcPr>
            <w:tcW w:w="850" w:type="dxa"/>
            <w:noWrap w:val="0"/>
            <w:vAlign w:val="center"/>
          </w:tcPr>
          <w:p w14:paraId="28A63BF2">
            <w:pPr>
              <w:spacing w:line="400" w:lineRule="exact"/>
              <w:jc w:val="left"/>
              <w:rPr>
                <w:rFonts w:hint="eastAsia" w:ascii="宋体" w:hAnsi="宋体" w:cs="宋体"/>
                <w:color w:val="auto"/>
                <w:sz w:val="24"/>
                <w:highlight w:val="none"/>
              </w:rPr>
            </w:pPr>
          </w:p>
        </w:tc>
        <w:tc>
          <w:tcPr>
            <w:tcW w:w="1276" w:type="dxa"/>
            <w:noWrap w:val="0"/>
            <w:vAlign w:val="center"/>
          </w:tcPr>
          <w:p w14:paraId="345F06C3">
            <w:pPr>
              <w:spacing w:line="400" w:lineRule="exact"/>
              <w:jc w:val="left"/>
              <w:rPr>
                <w:rFonts w:hint="eastAsia" w:ascii="宋体" w:hAnsi="宋体" w:cs="宋体"/>
                <w:color w:val="auto"/>
                <w:sz w:val="24"/>
                <w:highlight w:val="none"/>
              </w:rPr>
            </w:pPr>
          </w:p>
        </w:tc>
        <w:tc>
          <w:tcPr>
            <w:tcW w:w="1417" w:type="dxa"/>
            <w:noWrap w:val="0"/>
            <w:vAlign w:val="center"/>
          </w:tcPr>
          <w:p w14:paraId="4E7B89D8">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3622D844">
            <w:pPr>
              <w:spacing w:line="400" w:lineRule="exact"/>
              <w:jc w:val="left"/>
              <w:rPr>
                <w:rFonts w:hint="eastAsia" w:ascii="宋体" w:hAnsi="宋体" w:cs="宋体"/>
                <w:color w:val="auto"/>
                <w:sz w:val="24"/>
                <w:highlight w:val="none"/>
              </w:rPr>
            </w:pPr>
          </w:p>
        </w:tc>
      </w:tr>
      <w:tr w14:paraId="44D2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10857D59">
            <w:pPr>
              <w:spacing w:line="400" w:lineRule="exact"/>
              <w:jc w:val="left"/>
              <w:rPr>
                <w:rFonts w:hint="eastAsia" w:ascii="宋体" w:hAnsi="宋体" w:cs="宋体"/>
                <w:color w:val="auto"/>
                <w:sz w:val="24"/>
                <w:highlight w:val="none"/>
              </w:rPr>
            </w:pPr>
          </w:p>
        </w:tc>
        <w:tc>
          <w:tcPr>
            <w:tcW w:w="2126" w:type="dxa"/>
            <w:noWrap w:val="0"/>
            <w:vAlign w:val="center"/>
          </w:tcPr>
          <w:p w14:paraId="449186A6">
            <w:pPr>
              <w:spacing w:line="400" w:lineRule="exact"/>
              <w:jc w:val="left"/>
              <w:rPr>
                <w:rFonts w:hint="eastAsia" w:ascii="宋体" w:hAnsi="宋体" w:cs="宋体"/>
                <w:color w:val="auto"/>
                <w:sz w:val="24"/>
                <w:highlight w:val="none"/>
              </w:rPr>
            </w:pPr>
          </w:p>
        </w:tc>
        <w:tc>
          <w:tcPr>
            <w:tcW w:w="1560" w:type="dxa"/>
            <w:noWrap w:val="0"/>
            <w:vAlign w:val="center"/>
          </w:tcPr>
          <w:p w14:paraId="280BC346">
            <w:pPr>
              <w:spacing w:line="400" w:lineRule="exact"/>
              <w:jc w:val="left"/>
              <w:rPr>
                <w:rFonts w:hint="eastAsia" w:ascii="宋体" w:hAnsi="宋体" w:cs="宋体"/>
                <w:color w:val="auto"/>
                <w:sz w:val="24"/>
                <w:highlight w:val="none"/>
              </w:rPr>
            </w:pPr>
          </w:p>
        </w:tc>
        <w:tc>
          <w:tcPr>
            <w:tcW w:w="850" w:type="dxa"/>
            <w:noWrap w:val="0"/>
            <w:vAlign w:val="center"/>
          </w:tcPr>
          <w:p w14:paraId="383185FB">
            <w:pPr>
              <w:spacing w:line="400" w:lineRule="exact"/>
              <w:jc w:val="left"/>
              <w:rPr>
                <w:rFonts w:hint="eastAsia" w:ascii="宋体" w:hAnsi="宋体" w:cs="宋体"/>
                <w:color w:val="auto"/>
                <w:sz w:val="24"/>
                <w:highlight w:val="none"/>
              </w:rPr>
            </w:pPr>
          </w:p>
        </w:tc>
        <w:tc>
          <w:tcPr>
            <w:tcW w:w="1276" w:type="dxa"/>
            <w:noWrap w:val="0"/>
            <w:vAlign w:val="center"/>
          </w:tcPr>
          <w:p w14:paraId="01898303">
            <w:pPr>
              <w:spacing w:line="400" w:lineRule="exact"/>
              <w:jc w:val="left"/>
              <w:rPr>
                <w:rFonts w:hint="eastAsia" w:ascii="宋体" w:hAnsi="宋体" w:cs="宋体"/>
                <w:color w:val="auto"/>
                <w:sz w:val="24"/>
                <w:highlight w:val="none"/>
              </w:rPr>
            </w:pPr>
          </w:p>
        </w:tc>
        <w:tc>
          <w:tcPr>
            <w:tcW w:w="1417" w:type="dxa"/>
            <w:noWrap w:val="0"/>
            <w:vAlign w:val="center"/>
          </w:tcPr>
          <w:p w14:paraId="2D1F0AAA">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59C97E70">
            <w:pPr>
              <w:spacing w:line="400" w:lineRule="exact"/>
              <w:jc w:val="left"/>
              <w:rPr>
                <w:rFonts w:hint="eastAsia" w:ascii="宋体" w:hAnsi="宋体" w:cs="宋体"/>
                <w:color w:val="auto"/>
                <w:sz w:val="24"/>
                <w:highlight w:val="none"/>
              </w:rPr>
            </w:pPr>
          </w:p>
        </w:tc>
      </w:tr>
      <w:tr w14:paraId="6611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7B831F79">
            <w:pPr>
              <w:spacing w:line="400" w:lineRule="exact"/>
              <w:jc w:val="left"/>
              <w:rPr>
                <w:rFonts w:hint="eastAsia" w:ascii="宋体" w:hAnsi="宋体" w:cs="宋体"/>
                <w:color w:val="auto"/>
                <w:sz w:val="24"/>
                <w:highlight w:val="none"/>
              </w:rPr>
            </w:pPr>
          </w:p>
        </w:tc>
        <w:tc>
          <w:tcPr>
            <w:tcW w:w="2126" w:type="dxa"/>
            <w:noWrap w:val="0"/>
            <w:vAlign w:val="center"/>
          </w:tcPr>
          <w:p w14:paraId="200B244A">
            <w:pPr>
              <w:spacing w:line="400" w:lineRule="exact"/>
              <w:jc w:val="left"/>
              <w:rPr>
                <w:rFonts w:hint="eastAsia" w:ascii="宋体" w:hAnsi="宋体" w:cs="宋体"/>
                <w:color w:val="auto"/>
                <w:sz w:val="24"/>
                <w:highlight w:val="none"/>
              </w:rPr>
            </w:pPr>
          </w:p>
        </w:tc>
        <w:tc>
          <w:tcPr>
            <w:tcW w:w="1560" w:type="dxa"/>
            <w:noWrap w:val="0"/>
            <w:vAlign w:val="center"/>
          </w:tcPr>
          <w:p w14:paraId="5BC85C71">
            <w:pPr>
              <w:spacing w:line="400" w:lineRule="exact"/>
              <w:jc w:val="left"/>
              <w:rPr>
                <w:rFonts w:hint="eastAsia" w:ascii="宋体" w:hAnsi="宋体" w:cs="宋体"/>
                <w:color w:val="auto"/>
                <w:sz w:val="24"/>
                <w:highlight w:val="none"/>
              </w:rPr>
            </w:pPr>
          </w:p>
        </w:tc>
        <w:tc>
          <w:tcPr>
            <w:tcW w:w="850" w:type="dxa"/>
            <w:noWrap w:val="0"/>
            <w:vAlign w:val="center"/>
          </w:tcPr>
          <w:p w14:paraId="1C280B6D">
            <w:pPr>
              <w:spacing w:line="400" w:lineRule="exact"/>
              <w:jc w:val="left"/>
              <w:rPr>
                <w:rFonts w:hint="eastAsia" w:ascii="宋体" w:hAnsi="宋体" w:cs="宋体"/>
                <w:color w:val="auto"/>
                <w:sz w:val="24"/>
                <w:highlight w:val="none"/>
              </w:rPr>
            </w:pPr>
          </w:p>
        </w:tc>
        <w:tc>
          <w:tcPr>
            <w:tcW w:w="1276" w:type="dxa"/>
            <w:noWrap w:val="0"/>
            <w:vAlign w:val="center"/>
          </w:tcPr>
          <w:p w14:paraId="38821546">
            <w:pPr>
              <w:spacing w:line="400" w:lineRule="exact"/>
              <w:jc w:val="left"/>
              <w:rPr>
                <w:rFonts w:hint="eastAsia" w:ascii="宋体" w:hAnsi="宋体" w:cs="宋体"/>
                <w:color w:val="auto"/>
                <w:sz w:val="24"/>
                <w:highlight w:val="none"/>
              </w:rPr>
            </w:pPr>
          </w:p>
        </w:tc>
        <w:tc>
          <w:tcPr>
            <w:tcW w:w="1417" w:type="dxa"/>
            <w:noWrap w:val="0"/>
            <w:vAlign w:val="center"/>
          </w:tcPr>
          <w:p w14:paraId="79B34604">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7B1E3577">
            <w:pPr>
              <w:spacing w:line="400" w:lineRule="exact"/>
              <w:jc w:val="left"/>
              <w:rPr>
                <w:rFonts w:hint="eastAsia" w:ascii="宋体" w:hAnsi="宋体" w:cs="宋体"/>
                <w:color w:val="auto"/>
                <w:sz w:val="24"/>
                <w:highlight w:val="none"/>
              </w:rPr>
            </w:pPr>
          </w:p>
        </w:tc>
      </w:tr>
      <w:tr w14:paraId="1FF4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5F3ED1BE">
            <w:pPr>
              <w:spacing w:line="400" w:lineRule="exact"/>
              <w:jc w:val="left"/>
              <w:rPr>
                <w:rFonts w:hint="eastAsia" w:ascii="宋体" w:hAnsi="宋体" w:cs="宋体"/>
                <w:color w:val="auto"/>
                <w:sz w:val="24"/>
                <w:highlight w:val="none"/>
              </w:rPr>
            </w:pPr>
          </w:p>
        </w:tc>
        <w:tc>
          <w:tcPr>
            <w:tcW w:w="2126" w:type="dxa"/>
            <w:noWrap w:val="0"/>
            <w:vAlign w:val="center"/>
          </w:tcPr>
          <w:p w14:paraId="11A55E2D">
            <w:pPr>
              <w:spacing w:line="400" w:lineRule="exact"/>
              <w:jc w:val="left"/>
              <w:rPr>
                <w:rFonts w:hint="eastAsia" w:ascii="宋体" w:hAnsi="宋体" w:cs="宋体"/>
                <w:color w:val="auto"/>
                <w:sz w:val="24"/>
                <w:highlight w:val="none"/>
              </w:rPr>
            </w:pPr>
          </w:p>
        </w:tc>
        <w:tc>
          <w:tcPr>
            <w:tcW w:w="1560" w:type="dxa"/>
            <w:noWrap w:val="0"/>
            <w:vAlign w:val="center"/>
          </w:tcPr>
          <w:p w14:paraId="4F7A4058">
            <w:pPr>
              <w:spacing w:line="400" w:lineRule="exact"/>
              <w:jc w:val="left"/>
              <w:rPr>
                <w:rFonts w:hint="eastAsia" w:ascii="宋体" w:hAnsi="宋体" w:cs="宋体"/>
                <w:color w:val="auto"/>
                <w:sz w:val="24"/>
                <w:highlight w:val="none"/>
              </w:rPr>
            </w:pPr>
          </w:p>
        </w:tc>
        <w:tc>
          <w:tcPr>
            <w:tcW w:w="850" w:type="dxa"/>
            <w:noWrap w:val="0"/>
            <w:vAlign w:val="center"/>
          </w:tcPr>
          <w:p w14:paraId="05826759">
            <w:pPr>
              <w:spacing w:line="400" w:lineRule="exact"/>
              <w:jc w:val="left"/>
              <w:rPr>
                <w:rFonts w:hint="eastAsia" w:ascii="宋体" w:hAnsi="宋体" w:cs="宋体"/>
                <w:color w:val="auto"/>
                <w:sz w:val="24"/>
                <w:highlight w:val="none"/>
              </w:rPr>
            </w:pPr>
          </w:p>
        </w:tc>
        <w:tc>
          <w:tcPr>
            <w:tcW w:w="1276" w:type="dxa"/>
            <w:noWrap w:val="0"/>
            <w:vAlign w:val="center"/>
          </w:tcPr>
          <w:p w14:paraId="1089B00E">
            <w:pPr>
              <w:spacing w:line="400" w:lineRule="exact"/>
              <w:jc w:val="left"/>
              <w:rPr>
                <w:rFonts w:hint="eastAsia" w:ascii="宋体" w:hAnsi="宋体" w:cs="宋体"/>
                <w:color w:val="auto"/>
                <w:sz w:val="24"/>
                <w:highlight w:val="none"/>
              </w:rPr>
            </w:pPr>
          </w:p>
        </w:tc>
        <w:tc>
          <w:tcPr>
            <w:tcW w:w="1417" w:type="dxa"/>
            <w:noWrap w:val="0"/>
            <w:vAlign w:val="center"/>
          </w:tcPr>
          <w:p w14:paraId="47D9EFA1">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22E3E07D">
            <w:pPr>
              <w:spacing w:line="400" w:lineRule="exact"/>
              <w:jc w:val="left"/>
              <w:rPr>
                <w:rFonts w:hint="eastAsia" w:ascii="宋体" w:hAnsi="宋体" w:cs="宋体"/>
                <w:color w:val="auto"/>
                <w:sz w:val="24"/>
                <w:highlight w:val="none"/>
              </w:rPr>
            </w:pPr>
          </w:p>
        </w:tc>
      </w:tr>
      <w:tr w14:paraId="3003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48452BF7">
            <w:pPr>
              <w:spacing w:line="400" w:lineRule="exact"/>
              <w:jc w:val="left"/>
              <w:rPr>
                <w:rFonts w:hint="eastAsia" w:ascii="宋体" w:hAnsi="宋体" w:cs="宋体"/>
                <w:color w:val="auto"/>
                <w:sz w:val="24"/>
                <w:highlight w:val="none"/>
              </w:rPr>
            </w:pPr>
          </w:p>
        </w:tc>
        <w:tc>
          <w:tcPr>
            <w:tcW w:w="2126" w:type="dxa"/>
            <w:noWrap w:val="0"/>
            <w:vAlign w:val="center"/>
          </w:tcPr>
          <w:p w14:paraId="0A4A8C22">
            <w:pPr>
              <w:spacing w:line="400" w:lineRule="exact"/>
              <w:jc w:val="left"/>
              <w:rPr>
                <w:rFonts w:hint="eastAsia" w:ascii="宋体" w:hAnsi="宋体" w:cs="宋体"/>
                <w:color w:val="auto"/>
                <w:sz w:val="24"/>
                <w:highlight w:val="none"/>
              </w:rPr>
            </w:pPr>
          </w:p>
        </w:tc>
        <w:tc>
          <w:tcPr>
            <w:tcW w:w="1560" w:type="dxa"/>
            <w:noWrap w:val="0"/>
            <w:vAlign w:val="center"/>
          </w:tcPr>
          <w:p w14:paraId="4B652A3E">
            <w:pPr>
              <w:spacing w:line="400" w:lineRule="exact"/>
              <w:jc w:val="left"/>
              <w:rPr>
                <w:rFonts w:hint="eastAsia" w:ascii="宋体" w:hAnsi="宋体" w:cs="宋体"/>
                <w:color w:val="auto"/>
                <w:sz w:val="24"/>
                <w:highlight w:val="none"/>
              </w:rPr>
            </w:pPr>
          </w:p>
        </w:tc>
        <w:tc>
          <w:tcPr>
            <w:tcW w:w="850" w:type="dxa"/>
            <w:noWrap w:val="0"/>
            <w:vAlign w:val="center"/>
          </w:tcPr>
          <w:p w14:paraId="32ACDDED">
            <w:pPr>
              <w:spacing w:line="400" w:lineRule="exact"/>
              <w:jc w:val="left"/>
              <w:rPr>
                <w:rFonts w:hint="eastAsia" w:ascii="宋体" w:hAnsi="宋体" w:cs="宋体"/>
                <w:color w:val="auto"/>
                <w:sz w:val="24"/>
                <w:highlight w:val="none"/>
              </w:rPr>
            </w:pPr>
          </w:p>
        </w:tc>
        <w:tc>
          <w:tcPr>
            <w:tcW w:w="1276" w:type="dxa"/>
            <w:noWrap w:val="0"/>
            <w:vAlign w:val="center"/>
          </w:tcPr>
          <w:p w14:paraId="1722B785">
            <w:pPr>
              <w:spacing w:line="400" w:lineRule="exact"/>
              <w:jc w:val="left"/>
              <w:rPr>
                <w:rFonts w:hint="eastAsia" w:ascii="宋体" w:hAnsi="宋体" w:cs="宋体"/>
                <w:color w:val="auto"/>
                <w:sz w:val="24"/>
                <w:highlight w:val="none"/>
              </w:rPr>
            </w:pPr>
          </w:p>
        </w:tc>
        <w:tc>
          <w:tcPr>
            <w:tcW w:w="1417" w:type="dxa"/>
            <w:noWrap w:val="0"/>
            <w:vAlign w:val="center"/>
          </w:tcPr>
          <w:p w14:paraId="7860D6C2">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0A12ED88">
            <w:pPr>
              <w:spacing w:line="400" w:lineRule="exact"/>
              <w:jc w:val="left"/>
              <w:rPr>
                <w:rFonts w:hint="eastAsia" w:ascii="宋体" w:hAnsi="宋体" w:cs="宋体"/>
                <w:color w:val="auto"/>
                <w:sz w:val="24"/>
                <w:highlight w:val="none"/>
              </w:rPr>
            </w:pPr>
          </w:p>
        </w:tc>
      </w:tr>
      <w:tr w14:paraId="43AF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4A75E8FD">
            <w:pPr>
              <w:spacing w:line="400" w:lineRule="exact"/>
              <w:jc w:val="left"/>
              <w:rPr>
                <w:rFonts w:hint="eastAsia" w:ascii="宋体" w:hAnsi="宋体" w:cs="宋体"/>
                <w:color w:val="auto"/>
                <w:sz w:val="24"/>
                <w:highlight w:val="none"/>
              </w:rPr>
            </w:pPr>
          </w:p>
        </w:tc>
        <w:tc>
          <w:tcPr>
            <w:tcW w:w="2126" w:type="dxa"/>
            <w:noWrap w:val="0"/>
            <w:vAlign w:val="center"/>
          </w:tcPr>
          <w:p w14:paraId="3ED01444">
            <w:pPr>
              <w:spacing w:line="400" w:lineRule="exact"/>
              <w:jc w:val="left"/>
              <w:rPr>
                <w:rFonts w:hint="eastAsia" w:ascii="宋体" w:hAnsi="宋体" w:cs="宋体"/>
                <w:color w:val="auto"/>
                <w:sz w:val="24"/>
                <w:highlight w:val="none"/>
              </w:rPr>
            </w:pPr>
          </w:p>
        </w:tc>
        <w:tc>
          <w:tcPr>
            <w:tcW w:w="1560" w:type="dxa"/>
            <w:noWrap w:val="0"/>
            <w:vAlign w:val="center"/>
          </w:tcPr>
          <w:p w14:paraId="3725F150">
            <w:pPr>
              <w:spacing w:line="400" w:lineRule="exact"/>
              <w:jc w:val="left"/>
              <w:rPr>
                <w:rFonts w:hint="eastAsia" w:ascii="宋体" w:hAnsi="宋体" w:cs="宋体"/>
                <w:color w:val="auto"/>
                <w:sz w:val="24"/>
                <w:highlight w:val="none"/>
              </w:rPr>
            </w:pPr>
          </w:p>
        </w:tc>
        <w:tc>
          <w:tcPr>
            <w:tcW w:w="850" w:type="dxa"/>
            <w:noWrap w:val="0"/>
            <w:vAlign w:val="center"/>
          </w:tcPr>
          <w:p w14:paraId="03DBE07E">
            <w:pPr>
              <w:spacing w:line="400" w:lineRule="exact"/>
              <w:jc w:val="left"/>
              <w:rPr>
                <w:rFonts w:hint="eastAsia" w:ascii="宋体" w:hAnsi="宋体" w:cs="宋体"/>
                <w:color w:val="auto"/>
                <w:sz w:val="24"/>
                <w:highlight w:val="none"/>
              </w:rPr>
            </w:pPr>
          </w:p>
        </w:tc>
        <w:tc>
          <w:tcPr>
            <w:tcW w:w="1276" w:type="dxa"/>
            <w:noWrap w:val="0"/>
            <w:vAlign w:val="center"/>
          </w:tcPr>
          <w:p w14:paraId="01EA9F39">
            <w:pPr>
              <w:spacing w:line="400" w:lineRule="exact"/>
              <w:jc w:val="left"/>
              <w:rPr>
                <w:rFonts w:hint="eastAsia" w:ascii="宋体" w:hAnsi="宋体" w:cs="宋体"/>
                <w:color w:val="auto"/>
                <w:sz w:val="24"/>
                <w:highlight w:val="none"/>
              </w:rPr>
            </w:pPr>
          </w:p>
        </w:tc>
        <w:tc>
          <w:tcPr>
            <w:tcW w:w="1417" w:type="dxa"/>
            <w:noWrap w:val="0"/>
            <w:vAlign w:val="center"/>
          </w:tcPr>
          <w:p w14:paraId="0CD30478">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76D74CC9">
            <w:pPr>
              <w:spacing w:line="400" w:lineRule="exact"/>
              <w:jc w:val="left"/>
              <w:rPr>
                <w:rFonts w:hint="eastAsia" w:ascii="宋体" w:hAnsi="宋体" w:cs="宋体"/>
                <w:color w:val="auto"/>
                <w:sz w:val="24"/>
                <w:highlight w:val="none"/>
              </w:rPr>
            </w:pPr>
          </w:p>
        </w:tc>
      </w:tr>
      <w:tr w14:paraId="1DF8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70FD5C5D">
            <w:pPr>
              <w:spacing w:line="400" w:lineRule="exact"/>
              <w:jc w:val="left"/>
              <w:rPr>
                <w:rFonts w:hint="eastAsia" w:ascii="宋体" w:hAnsi="宋体" w:cs="宋体"/>
                <w:color w:val="auto"/>
                <w:sz w:val="24"/>
                <w:highlight w:val="none"/>
              </w:rPr>
            </w:pPr>
          </w:p>
        </w:tc>
        <w:tc>
          <w:tcPr>
            <w:tcW w:w="2126" w:type="dxa"/>
            <w:noWrap w:val="0"/>
            <w:vAlign w:val="center"/>
          </w:tcPr>
          <w:p w14:paraId="01CF9210">
            <w:pPr>
              <w:spacing w:line="400" w:lineRule="exact"/>
              <w:jc w:val="left"/>
              <w:rPr>
                <w:rFonts w:hint="eastAsia" w:ascii="宋体" w:hAnsi="宋体" w:cs="宋体"/>
                <w:color w:val="auto"/>
                <w:sz w:val="24"/>
                <w:highlight w:val="none"/>
              </w:rPr>
            </w:pPr>
          </w:p>
        </w:tc>
        <w:tc>
          <w:tcPr>
            <w:tcW w:w="1560" w:type="dxa"/>
            <w:noWrap w:val="0"/>
            <w:vAlign w:val="center"/>
          </w:tcPr>
          <w:p w14:paraId="31D94B2F">
            <w:pPr>
              <w:spacing w:line="400" w:lineRule="exact"/>
              <w:jc w:val="left"/>
              <w:rPr>
                <w:rFonts w:hint="eastAsia" w:ascii="宋体" w:hAnsi="宋体" w:cs="宋体"/>
                <w:color w:val="auto"/>
                <w:sz w:val="24"/>
                <w:highlight w:val="none"/>
              </w:rPr>
            </w:pPr>
          </w:p>
        </w:tc>
        <w:tc>
          <w:tcPr>
            <w:tcW w:w="850" w:type="dxa"/>
            <w:noWrap w:val="0"/>
            <w:vAlign w:val="center"/>
          </w:tcPr>
          <w:p w14:paraId="541D4D70">
            <w:pPr>
              <w:spacing w:line="400" w:lineRule="exact"/>
              <w:jc w:val="left"/>
              <w:rPr>
                <w:rFonts w:hint="eastAsia" w:ascii="宋体" w:hAnsi="宋体" w:cs="宋体"/>
                <w:color w:val="auto"/>
                <w:sz w:val="24"/>
                <w:highlight w:val="none"/>
              </w:rPr>
            </w:pPr>
          </w:p>
        </w:tc>
        <w:tc>
          <w:tcPr>
            <w:tcW w:w="1276" w:type="dxa"/>
            <w:noWrap w:val="0"/>
            <w:vAlign w:val="center"/>
          </w:tcPr>
          <w:p w14:paraId="084314F8">
            <w:pPr>
              <w:spacing w:line="400" w:lineRule="exact"/>
              <w:jc w:val="left"/>
              <w:rPr>
                <w:rFonts w:hint="eastAsia" w:ascii="宋体" w:hAnsi="宋体" w:cs="宋体"/>
                <w:color w:val="auto"/>
                <w:sz w:val="24"/>
                <w:highlight w:val="none"/>
              </w:rPr>
            </w:pPr>
          </w:p>
        </w:tc>
        <w:tc>
          <w:tcPr>
            <w:tcW w:w="1417" w:type="dxa"/>
            <w:noWrap w:val="0"/>
            <w:vAlign w:val="center"/>
          </w:tcPr>
          <w:p w14:paraId="7F7C4F76">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791CA95F">
            <w:pPr>
              <w:spacing w:line="400" w:lineRule="exact"/>
              <w:jc w:val="left"/>
              <w:rPr>
                <w:rFonts w:hint="eastAsia" w:ascii="宋体" w:hAnsi="宋体" w:cs="宋体"/>
                <w:color w:val="auto"/>
                <w:sz w:val="24"/>
                <w:highlight w:val="none"/>
              </w:rPr>
            </w:pPr>
          </w:p>
        </w:tc>
      </w:tr>
      <w:tr w14:paraId="1E89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1018F5B2">
            <w:pPr>
              <w:spacing w:line="400" w:lineRule="exact"/>
              <w:jc w:val="left"/>
              <w:rPr>
                <w:rFonts w:hint="eastAsia" w:ascii="宋体" w:hAnsi="宋体" w:cs="宋体"/>
                <w:color w:val="auto"/>
                <w:sz w:val="24"/>
                <w:highlight w:val="none"/>
              </w:rPr>
            </w:pPr>
          </w:p>
        </w:tc>
        <w:tc>
          <w:tcPr>
            <w:tcW w:w="2126" w:type="dxa"/>
            <w:noWrap w:val="0"/>
            <w:vAlign w:val="center"/>
          </w:tcPr>
          <w:p w14:paraId="1156DA07">
            <w:pPr>
              <w:spacing w:line="400" w:lineRule="exact"/>
              <w:jc w:val="left"/>
              <w:rPr>
                <w:rFonts w:hint="eastAsia" w:ascii="宋体" w:hAnsi="宋体" w:cs="宋体"/>
                <w:color w:val="auto"/>
                <w:sz w:val="24"/>
                <w:highlight w:val="none"/>
              </w:rPr>
            </w:pPr>
          </w:p>
        </w:tc>
        <w:tc>
          <w:tcPr>
            <w:tcW w:w="1560" w:type="dxa"/>
            <w:noWrap w:val="0"/>
            <w:vAlign w:val="center"/>
          </w:tcPr>
          <w:p w14:paraId="619AC098">
            <w:pPr>
              <w:spacing w:line="400" w:lineRule="exact"/>
              <w:jc w:val="left"/>
              <w:rPr>
                <w:rFonts w:hint="eastAsia" w:ascii="宋体" w:hAnsi="宋体" w:cs="宋体"/>
                <w:color w:val="auto"/>
                <w:sz w:val="24"/>
                <w:highlight w:val="none"/>
              </w:rPr>
            </w:pPr>
          </w:p>
        </w:tc>
        <w:tc>
          <w:tcPr>
            <w:tcW w:w="850" w:type="dxa"/>
            <w:noWrap w:val="0"/>
            <w:vAlign w:val="center"/>
          </w:tcPr>
          <w:p w14:paraId="65CB6CAA">
            <w:pPr>
              <w:spacing w:line="400" w:lineRule="exact"/>
              <w:jc w:val="left"/>
              <w:rPr>
                <w:rFonts w:hint="eastAsia" w:ascii="宋体" w:hAnsi="宋体" w:cs="宋体"/>
                <w:color w:val="auto"/>
                <w:sz w:val="24"/>
                <w:highlight w:val="none"/>
              </w:rPr>
            </w:pPr>
          </w:p>
        </w:tc>
        <w:tc>
          <w:tcPr>
            <w:tcW w:w="1276" w:type="dxa"/>
            <w:noWrap w:val="0"/>
            <w:vAlign w:val="center"/>
          </w:tcPr>
          <w:p w14:paraId="09C59858">
            <w:pPr>
              <w:spacing w:line="400" w:lineRule="exact"/>
              <w:jc w:val="left"/>
              <w:rPr>
                <w:rFonts w:hint="eastAsia" w:ascii="宋体" w:hAnsi="宋体" w:cs="宋体"/>
                <w:color w:val="auto"/>
                <w:sz w:val="24"/>
                <w:highlight w:val="none"/>
              </w:rPr>
            </w:pPr>
          </w:p>
        </w:tc>
        <w:tc>
          <w:tcPr>
            <w:tcW w:w="1417" w:type="dxa"/>
            <w:noWrap w:val="0"/>
            <w:vAlign w:val="center"/>
          </w:tcPr>
          <w:p w14:paraId="36C719C0">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035F0205">
            <w:pPr>
              <w:spacing w:line="400" w:lineRule="exact"/>
              <w:jc w:val="left"/>
              <w:rPr>
                <w:rFonts w:hint="eastAsia" w:ascii="宋体" w:hAnsi="宋体" w:cs="宋体"/>
                <w:color w:val="auto"/>
                <w:sz w:val="24"/>
                <w:highlight w:val="none"/>
              </w:rPr>
            </w:pPr>
          </w:p>
        </w:tc>
      </w:tr>
      <w:tr w14:paraId="5E6C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7750BAB4">
            <w:pPr>
              <w:spacing w:line="400" w:lineRule="exact"/>
              <w:jc w:val="left"/>
              <w:rPr>
                <w:rFonts w:hint="eastAsia" w:ascii="宋体" w:hAnsi="宋体" w:cs="宋体"/>
                <w:color w:val="auto"/>
                <w:sz w:val="24"/>
                <w:highlight w:val="none"/>
              </w:rPr>
            </w:pPr>
          </w:p>
        </w:tc>
        <w:tc>
          <w:tcPr>
            <w:tcW w:w="2126" w:type="dxa"/>
            <w:noWrap w:val="0"/>
            <w:vAlign w:val="center"/>
          </w:tcPr>
          <w:p w14:paraId="46ED9EB9">
            <w:pPr>
              <w:spacing w:line="400" w:lineRule="exact"/>
              <w:jc w:val="left"/>
              <w:rPr>
                <w:rFonts w:hint="eastAsia" w:ascii="宋体" w:hAnsi="宋体" w:cs="宋体"/>
                <w:color w:val="auto"/>
                <w:sz w:val="24"/>
                <w:highlight w:val="none"/>
              </w:rPr>
            </w:pPr>
          </w:p>
        </w:tc>
        <w:tc>
          <w:tcPr>
            <w:tcW w:w="1560" w:type="dxa"/>
            <w:noWrap w:val="0"/>
            <w:vAlign w:val="center"/>
          </w:tcPr>
          <w:p w14:paraId="68D40D2C">
            <w:pPr>
              <w:spacing w:line="400" w:lineRule="exact"/>
              <w:jc w:val="left"/>
              <w:rPr>
                <w:rFonts w:hint="eastAsia" w:ascii="宋体" w:hAnsi="宋体" w:cs="宋体"/>
                <w:color w:val="auto"/>
                <w:sz w:val="24"/>
                <w:highlight w:val="none"/>
              </w:rPr>
            </w:pPr>
          </w:p>
        </w:tc>
        <w:tc>
          <w:tcPr>
            <w:tcW w:w="850" w:type="dxa"/>
            <w:noWrap w:val="0"/>
            <w:vAlign w:val="center"/>
          </w:tcPr>
          <w:p w14:paraId="05FDF662">
            <w:pPr>
              <w:spacing w:line="400" w:lineRule="exact"/>
              <w:jc w:val="left"/>
              <w:rPr>
                <w:rFonts w:hint="eastAsia" w:ascii="宋体" w:hAnsi="宋体" w:cs="宋体"/>
                <w:color w:val="auto"/>
                <w:sz w:val="24"/>
                <w:highlight w:val="none"/>
              </w:rPr>
            </w:pPr>
          </w:p>
        </w:tc>
        <w:tc>
          <w:tcPr>
            <w:tcW w:w="1276" w:type="dxa"/>
            <w:noWrap w:val="0"/>
            <w:vAlign w:val="center"/>
          </w:tcPr>
          <w:p w14:paraId="06C0E948">
            <w:pPr>
              <w:spacing w:line="400" w:lineRule="exact"/>
              <w:jc w:val="left"/>
              <w:rPr>
                <w:rFonts w:hint="eastAsia" w:ascii="宋体" w:hAnsi="宋体" w:cs="宋体"/>
                <w:color w:val="auto"/>
                <w:sz w:val="24"/>
                <w:highlight w:val="none"/>
              </w:rPr>
            </w:pPr>
          </w:p>
        </w:tc>
        <w:tc>
          <w:tcPr>
            <w:tcW w:w="1417" w:type="dxa"/>
            <w:noWrap w:val="0"/>
            <w:vAlign w:val="center"/>
          </w:tcPr>
          <w:p w14:paraId="06D17C74">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11B6E9C3">
            <w:pPr>
              <w:spacing w:line="400" w:lineRule="exact"/>
              <w:jc w:val="left"/>
              <w:rPr>
                <w:rFonts w:hint="eastAsia" w:ascii="宋体" w:hAnsi="宋体" w:cs="宋体"/>
                <w:color w:val="auto"/>
                <w:sz w:val="24"/>
                <w:highlight w:val="none"/>
              </w:rPr>
            </w:pPr>
          </w:p>
        </w:tc>
      </w:tr>
      <w:tr w14:paraId="738D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67E8A31D">
            <w:pPr>
              <w:spacing w:line="400" w:lineRule="exact"/>
              <w:jc w:val="left"/>
              <w:rPr>
                <w:rFonts w:hint="eastAsia" w:ascii="宋体" w:hAnsi="宋体" w:cs="宋体"/>
                <w:color w:val="auto"/>
                <w:sz w:val="24"/>
                <w:highlight w:val="none"/>
              </w:rPr>
            </w:pPr>
          </w:p>
        </w:tc>
        <w:tc>
          <w:tcPr>
            <w:tcW w:w="2126" w:type="dxa"/>
            <w:noWrap w:val="0"/>
            <w:vAlign w:val="center"/>
          </w:tcPr>
          <w:p w14:paraId="12A79935">
            <w:pPr>
              <w:spacing w:line="400" w:lineRule="exact"/>
              <w:jc w:val="left"/>
              <w:rPr>
                <w:rFonts w:hint="eastAsia" w:ascii="宋体" w:hAnsi="宋体" w:cs="宋体"/>
                <w:color w:val="auto"/>
                <w:sz w:val="24"/>
                <w:highlight w:val="none"/>
              </w:rPr>
            </w:pPr>
          </w:p>
        </w:tc>
        <w:tc>
          <w:tcPr>
            <w:tcW w:w="1560" w:type="dxa"/>
            <w:noWrap w:val="0"/>
            <w:vAlign w:val="center"/>
          </w:tcPr>
          <w:p w14:paraId="05C42B4C">
            <w:pPr>
              <w:spacing w:line="400" w:lineRule="exact"/>
              <w:jc w:val="left"/>
              <w:rPr>
                <w:rFonts w:hint="eastAsia" w:ascii="宋体" w:hAnsi="宋体" w:cs="宋体"/>
                <w:color w:val="auto"/>
                <w:sz w:val="24"/>
                <w:highlight w:val="none"/>
              </w:rPr>
            </w:pPr>
          </w:p>
        </w:tc>
        <w:tc>
          <w:tcPr>
            <w:tcW w:w="850" w:type="dxa"/>
            <w:noWrap w:val="0"/>
            <w:vAlign w:val="center"/>
          </w:tcPr>
          <w:p w14:paraId="3CF71C0D">
            <w:pPr>
              <w:spacing w:line="400" w:lineRule="exact"/>
              <w:jc w:val="left"/>
              <w:rPr>
                <w:rFonts w:hint="eastAsia" w:ascii="宋体" w:hAnsi="宋体" w:cs="宋体"/>
                <w:color w:val="auto"/>
                <w:sz w:val="24"/>
                <w:highlight w:val="none"/>
              </w:rPr>
            </w:pPr>
          </w:p>
        </w:tc>
        <w:tc>
          <w:tcPr>
            <w:tcW w:w="1276" w:type="dxa"/>
            <w:noWrap w:val="0"/>
            <w:vAlign w:val="center"/>
          </w:tcPr>
          <w:p w14:paraId="0463F76E">
            <w:pPr>
              <w:spacing w:line="400" w:lineRule="exact"/>
              <w:jc w:val="left"/>
              <w:rPr>
                <w:rFonts w:hint="eastAsia" w:ascii="宋体" w:hAnsi="宋体" w:cs="宋体"/>
                <w:color w:val="auto"/>
                <w:sz w:val="24"/>
                <w:highlight w:val="none"/>
              </w:rPr>
            </w:pPr>
          </w:p>
        </w:tc>
        <w:tc>
          <w:tcPr>
            <w:tcW w:w="1417" w:type="dxa"/>
            <w:noWrap w:val="0"/>
            <w:vAlign w:val="center"/>
          </w:tcPr>
          <w:p w14:paraId="2D7471B4">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36653EBB">
            <w:pPr>
              <w:spacing w:line="400" w:lineRule="exact"/>
              <w:jc w:val="left"/>
              <w:rPr>
                <w:rFonts w:hint="eastAsia" w:ascii="宋体" w:hAnsi="宋体" w:cs="宋体"/>
                <w:color w:val="auto"/>
                <w:sz w:val="24"/>
                <w:highlight w:val="none"/>
              </w:rPr>
            </w:pPr>
          </w:p>
        </w:tc>
      </w:tr>
      <w:tr w14:paraId="6DCA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tcBorders>
            <w:noWrap w:val="0"/>
            <w:vAlign w:val="center"/>
          </w:tcPr>
          <w:p w14:paraId="06C77934">
            <w:pPr>
              <w:spacing w:line="400" w:lineRule="exact"/>
              <w:jc w:val="left"/>
              <w:rPr>
                <w:rFonts w:hint="eastAsia" w:ascii="宋体" w:hAnsi="宋体" w:cs="宋体"/>
                <w:color w:val="auto"/>
                <w:sz w:val="24"/>
                <w:highlight w:val="none"/>
              </w:rPr>
            </w:pPr>
          </w:p>
        </w:tc>
        <w:tc>
          <w:tcPr>
            <w:tcW w:w="2126" w:type="dxa"/>
            <w:noWrap w:val="0"/>
            <w:vAlign w:val="center"/>
          </w:tcPr>
          <w:p w14:paraId="5BA1CE1D">
            <w:pPr>
              <w:spacing w:line="400" w:lineRule="exact"/>
              <w:jc w:val="left"/>
              <w:rPr>
                <w:rFonts w:hint="eastAsia" w:ascii="宋体" w:hAnsi="宋体" w:cs="宋体"/>
                <w:color w:val="auto"/>
                <w:sz w:val="24"/>
                <w:highlight w:val="none"/>
              </w:rPr>
            </w:pPr>
          </w:p>
        </w:tc>
        <w:tc>
          <w:tcPr>
            <w:tcW w:w="1560" w:type="dxa"/>
            <w:noWrap w:val="0"/>
            <w:vAlign w:val="center"/>
          </w:tcPr>
          <w:p w14:paraId="0AC84721">
            <w:pPr>
              <w:spacing w:line="400" w:lineRule="exact"/>
              <w:jc w:val="left"/>
              <w:rPr>
                <w:rFonts w:hint="eastAsia" w:ascii="宋体" w:hAnsi="宋体" w:cs="宋体"/>
                <w:color w:val="auto"/>
                <w:sz w:val="24"/>
                <w:highlight w:val="none"/>
              </w:rPr>
            </w:pPr>
          </w:p>
        </w:tc>
        <w:tc>
          <w:tcPr>
            <w:tcW w:w="850" w:type="dxa"/>
            <w:noWrap w:val="0"/>
            <w:vAlign w:val="center"/>
          </w:tcPr>
          <w:p w14:paraId="7167C1B2">
            <w:pPr>
              <w:spacing w:line="400" w:lineRule="exact"/>
              <w:jc w:val="left"/>
              <w:rPr>
                <w:rFonts w:hint="eastAsia" w:ascii="宋体" w:hAnsi="宋体" w:cs="宋体"/>
                <w:color w:val="auto"/>
                <w:sz w:val="24"/>
                <w:highlight w:val="none"/>
              </w:rPr>
            </w:pPr>
          </w:p>
        </w:tc>
        <w:tc>
          <w:tcPr>
            <w:tcW w:w="1276" w:type="dxa"/>
            <w:noWrap w:val="0"/>
            <w:vAlign w:val="center"/>
          </w:tcPr>
          <w:p w14:paraId="344E8F07">
            <w:pPr>
              <w:spacing w:line="400" w:lineRule="exact"/>
              <w:jc w:val="left"/>
              <w:rPr>
                <w:rFonts w:hint="eastAsia" w:ascii="宋体" w:hAnsi="宋体" w:cs="宋体"/>
                <w:color w:val="auto"/>
                <w:sz w:val="24"/>
                <w:highlight w:val="none"/>
              </w:rPr>
            </w:pPr>
          </w:p>
        </w:tc>
        <w:tc>
          <w:tcPr>
            <w:tcW w:w="1417" w:type="dxa"/>
            <w:noWrap w:val="0"/>
            <w:vAlign w:val="center"/>
          </w:tcPr>
          <w:p w14:paraId="1B18D771">
            <w:pPr>
              <w:spacing w:line="400" w:lineRule="exact"/>
              <w:jc w:val="left"/>
              <w:rPr>
                <w:rFonts w:hint="eastAsia" w:ascii="宋体" w:hAnsi="宋体" w:cs="宋体"/>
                <w:color w:val="auto"/>
                <w:sz w:val="24"/>
                <w:highlight w:val="none"/>
              </w:rPr>
            </w:pPr>
          </w:p>
        </w:tc>
        <w:tc>
          <w:tcPr>
            <w:tcW w:w="1985" w:type="dxa"/>
            <w:tcBorders>
              <w:right w:val="single" w:color="auto" w:sz="12" w:space="0"/>
            </w:tcBorders>
            <w:noWrap w:val="0"/>
            <w:vAlign w:val="center"/>
          </w:tcPr>
          <w:p w14:paraId="443D3E48">
            <w:pPr>
              <w:spacing w:line="400" w:lineRule="exact"/>
              <w:jc w:val="left"/>
              <w:rPr>
                <w:rFonts w:hint="eastAsia" w:ascii="宋体" w:hAnsi="宋体" w:cs="宋体"/>
                <w:color w:val="auto"/>
                <w:sz w:val="24"/>
                <w:highlight w:val="none"/>
              </w:rPr>
            </w:pPr>
          </w:p>
        </w:tc>
      </w:tr>
      <w:tr w14:paraId="622A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09" w:type="dxa"/>
            <w:tcBorders>
              <w:left w:val="single" w:color="auto" w:sz="12" w:space="0"/>
              <w:bottom w:val="single" w:color="auto" w:sz="12" w:space="0"/>
            </w:tcBorders>
            <w:noWrap w:val="0"/>
            <w:vAlign w:val="center"/>
          </w:tcPr>
          <w:p w14:paraId="218C0A50">
            <w:pPr>
              <w:spacing w:line="400" w:lineRule="exact"/>
              <w:jc w:val="left"/>
              <w:rPr>
                <w:rFonts w:hint="eastAsia" w:ascii="宋体" w:hAnsi="宋体" w:cs="宋体"/>
                <w:color w:val="auto"/>
                <w:sz w:val="24"/>
                <w:highlight w:val="none"/>
              </w:rPr>
            </w:pPr>
          </w:p>
        </w:tc>
        <w:tc>
          <w:tcPr>
            <w:tcW w:w="2126" w:type="dxa"/>
            <w:tcBorders>
              <w:bottom w:val="single" w:color="auto" w:sz="12" w:space="0"/>
            </w:tcBorders>
            <w:noWrap w:val="0"/>
            <w:vAlign w:val="center"/>
          </w:tcPr>
          <w:p w14:paraId="4C78C92B">
            <w:pPr>
              <w:spacing w:line="400" w:lineRule="exact"/>
              <w:jc w:val="left"/>
              <w:rPr>
                <w:rFonts w:hint="eastAsia" w:ascii="宋体" w:hAnsi="宋体" w:cs="宋体"/>
                <w:color w:val="auto"/>
                <w:sz w:val="24"/>
                <w:highlight w:val="none"/>
              </w:rPr>
            </w:pPr>
          </w:p>
        </w:tc>
        <w:tc>
          <w:tcPr>
            <w:tcW w:w="1560" w:type="dxa"/>
            <w:tcBorders>
              <w:bottom w:val="single" w:color="auto" w:sz="12" w:space="0"/>
            </w:tcBorders>
            <w:noWrap w:val="0"/>
            <w:vAlign w:val="center"/>
          </w:tcPr>
          <w:p w14:paraId="471B19BA">
            <w:pPr>
              <w:spacing w:line="400" w:lineRule="exact"/>
              <w:jc w:val="left"/>
              <w:rPr>
                <w:rFonts w:hint="eastAsia" w:ascii="宋体" w:hAnsi="宋体" w:cs="宋体"/>
                <w:color w:val="auto"/>
                <w:sz w:val="24"/>
                <w:highlight w:val="none"/>
              </w:rPr>
            </w:pPr>
          </w:p>
        </w:tc>
        <w:tc>
          <w:tcPr>
            <w:tcW w:w="850" w:type="dxa"/>
            <w:tcBorders>
              <w:bottom w:val="single" w:color="auto" w:sz="12" w:space="0"/>
            </w:tcBorders>
            <w:noWrap w:val="0"/>
            <w:vAlign w:val="center"/>
          </w:tcPr>
          <w:p w14:paraId="1C9F4D62">
            <w:pPr>
              <w:spacing w:line="400" w:lineRule="exact"/>
              <w:jc w:val="left"/>
              <w:rPr>
                <w:rFonts w:hint="eastAsia" w:ascii="宋体" w:hAnsi="宋体" w:cs="宋体"/>
                <w:color w:val="auto"/>
                <w:sz w:val="24"/>
                <w:highlight w:val="none"/>
              </w:rPr>
            </w:pPr>
          </w:p>
        </w:tc>
        <w:tc>
          <w:tcPr>
            <w:tcW w:w="1276" w:type="dxa"/>
            <w:tcBorders>
              <w:bottom w:val="single" w:color="auto" w:sz="12" w:space="0"/>
            </w:tcBorders>
            <w:noWrap w:val="0"/>
            <w:vAlign w:val="center"/>
          </w:tcPr>
          <w:p w14:paraId="2EBA6075">
            <w:pPr>
              <w:spacing w:line="400" w:lineRule="exact"/>
              <w:jc w:val="left"/>
              <w:rPr>
                <w:rFonts w:hint="eastAsia" w:ascii="宋体" w:hAnsi="宋体" w:cs="宋体"/>
                <w:color w:val="auto"/>
                <w:sz w:val="24"/>
                <w:highlight w:val="none"/>
              </w:rPr>
            </w:pPr>
          </w:p>
        </w:tc>
        <w:tc>
          <w:tcPr>
            <w:tcW w:w="1417" w:type="dxa"/>
            <w:tcBorders>
              <w:bottom w:val="single" w:color="auto" w:sz="12" w:space="0"/>
            </w:tcBorders>
            <w:noWrap w:val="0"/>
            <w:vAlign w:val="center"/>
          </w:tcPr>
          <w:p w14:paraId="278388F9">
            <w:pPr>
              <w:spacing w:line="400" w:lineRule="exact"/>
              <w:jc w:val="left"/>
              <w:rPr>
                <w:rFonts w:hint="eastAsia" w:ascii="宋体" w:hAnsi="宋体" w:cs="宋体"/>
                <w:color w:val="auto"/>
                <w:sz w:val="24"/>
                <w:highlight w:val="none"/>
              </w:rPr>
            </w:pPr>
          </w:p>
        </w:tc>
        <w:tc>
          <w:tcPr>
            <w:tcW w:w="1985" w:type="dxa"/>
            <w:tcBorders>
              <w:bottom w:val="single" w:color="auto" w:sz="12" w:space="0"/>
              <w:right w:val="single" w:color="auto" w:sz="12" w:space="0"/>
            </w:tcBorders>
            <w:noWrap w:val="0"/>
            <w:vAlign w:val="center"/>
          </w:tcPr>
          <w:p w14:paraId="1BCB7920">
            <w:pPr>
              <w:spacing w:line="400" w:lineRule="exact"/>
              <w:jc w:val="left"/>
              <w:rPr>
                <w:rFonts w:hint="eastAsia" w:ascii="宋体" w:hAnsi="宋体" w:cs="宋体"/>
                <w:color w:val="auto"/>
                <w:sz w:val="24"/>
                <w:highlight w:val="none"/>
              </w:rPr>
            </w:pPr>
          </w:p>
        </w:tc>
      </w:tr>
    </w:tbl>
    <w:p w14:paraId="4E62F961">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注：中标后，需按此表提供仪器、设备。</w:t>
      </w:r>
    </w:p>
    <w:p w14:paraId="063E7D80">
      <w:pPr>
        <w:spacing w:line="400" w:lineRule="exact"/>
        <w:jc w:val="left"/>
        <w:rPr>
          <w:rFonts w:hint="eastAsia" w:ascii="宋体" w:hAnsi="宋体" w:cs="宋体"/>
          <w:color w:val="auto"/>
          <w:sz w:val="24"/>
          <w:highlight w:val="none"/>
        </w:rPr>
      </w:pPr>
    </w:p>
    <w:p w14:paraId="5B2BE48F">
      <w:pPr>
        <w:spacing w:line="400" w:lineRule="exact"/>
        <w:jc w:val="left"/>
        <w:rPr>
          <w:rFonts w:hint="eastAsia" w:ascii="宋体" w:hAnsi="宋体" w:cs="宋体"/>
          <w:color w:val="auto"/>
          <w:sz w:val="24"/>
          <w:highlight w:val="none"/>
        </w:rPr>
      </w:pPr>
    </w:p>
    <w:p w14:paraId="646F7030">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0AC21741">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7DE7B9C2">
      <w:pPr>
        <w:spacing w:line="400" w:lineRule="exact"/>
        <w:jc w:val="center"/>
        <w:rPr>
          <w:rFonts w:hint="eastAsia" w:ascii="宋体" w:hAnsi="宋体" w:cs="宋体"/>
          <w:b/>
          <w:color w:val="auto"/>
          <w:sz w:val="32"/>
          <w:highlight w:val="none"/>
        </w:rPr>
      </w:pPr>
    </w:p>
    <w:p w14:paraId="590E9347">
      <w:pPr>
        <w:spacing w:line="360" w:lineRule="auto"/>
        <w:jc w:val="center"/>
        <w:rPr>
          <w:rFonts w:hint="eastAsia" w:ascii="宋体" w:hAnsi="宋体" w:cs="宋体"/>
          <w:b/>
          <w:bCs/>
          <w:color w:val="auto"/>
          <w:sz w:val="36"/>
          <w:highlight w:val="none"/>
        </w:rPr>
      </w:pPr>
      <w:r>
        <w:rPr>
          <w:rFonts w:hint="eastAsia" w:ascii="宋体" w:hAnsi="宋体" w:eastAsia="宋体" w:cs="Times New Roman"/>
          <w:b/>
          <w:color w:val="auto"/>
          <w:kern w:val="2"/>
          <w:sz w:val="28"/>
          <w:szCs w:val="28"/>
          <w:highlight w:val="none"/>
          <w:lang w:val="en-US" w:eastAsia="zh-CN" w:bidi="ar-SA"/>
        </w:rPr>
        <w:t>监理费报价表</w:t>
      </w:r>
    </w:p>
    <w:p w14:paraId="776B8960">
      <w:pPr>
        <w:spacing w:line="400" w:lineRule="exact"/>
        <w:jc w:val="left"/>
        <w:rPr>
          <w:rFonts w:hint="eastAsia" w:ascii="宋体" w:hAnsi="宋体" w:cs="宋体"/>
          <w:b/>
          <w:color w:val="auto"/>
          <w:sz w:val="24"/>
          <w:highlight w:val="none"/>
        </w:rPr>
      </w:pPr>
    </w:p>
    <w:p w14:paraId="4BA9943A">
      <w:pPr>
        <w:spacing w:line="400" w:lineRule="exact"/>
        <w:jc w:val="left"/>
        <w:rPr>
          <w:rFonts w:hint="eastAsia" w:ascii="宋体" w:hAnsi="宋体" w:cs="宋体"/>
          <w:b/>
          <w:color w:val="auto"/>
          <w:sz w:val="24"/>
          <w:highlight w:val="none"/>
        </w:rPr>
      </w:pPr>
      <w:r>
        <w:rPr>
          <w:rFonts w:hint="eastAsia" w:ascii="宋体" w:hAnsi="宋体" w:cs="宋体"/>
          <w:b/>
          <w:color w:val="auto"/>
          <w:sz w:val="24"/>
          <w:highlight w:val="none"/>
        </w:rPr>
        <w:t xml:space="preserve"> 工程名称：</w:t>
      </w:r>
    </w:p>
    <w:tbl>
      <w:tblPr>
        <w:tblStyle w:val="25"/>
        <w:tblW w:w="9836" w:type="dxa"/>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920"/>
        <w:gridCol w:w="2880"/>
        <w:gridCol w:w="1685"/>
        <w:gridCol w:w="1606"/>
      </w:tblGrid>
      <w:tr w14:paraId="60FE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45" w:type="dxa"/>
            <w:tcBorders>
              <w:top w:val="single" w:color="auto" w:sz="12" w:space="0"/>
              <w:left w:val="single" w:color="auto" w:sz="12" w:space="0"/>
              <w:bottom w:val="single" w:color="auto" w:sz="12" w:space="0"/>
            </w:tcBorders>
            <w:noWrap w:val="0"/>
            <w:vAlign w:val="center"/>
          </w:tcPr>
          <w:p w14:paraId="49867CC3">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序号</w:t>
            </w:r>
          </w:p>
        </w:tc>
        <w:tc>
          <w:tcPr>
            <w:tcW w:w="2920" w:type="dxa"/>
            <w:tcBorders>
              <w:top w:val="single" w:color="auto" w:sz="12" w:space="0"/>
              <w:bottom w:val="single" w:color="auto" w:sz="12" w:space="0"/>
            </w:tcBorders>
            <w:noWrap w:val="0"/>
            <w:vAlign w:val="center"/>
          </w:tcPr>
          <w:p w14:paraId="551FB499">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项 目 名 称</w:t>
            </w:r>
          </w:p>
        </w:tc>
        <w:tc>
          <w:tcPr>
            <w:tcW w:w="2880" w:type="dxa"/>
            <w:tcBorders>
              <w:top w:val="single" w:color="auto" w:sz="12" w:space="0"/>
              <w:bottom w:val="single" w:color="auto" w:sz="12" w:space="0"/>
            </w:tcBorders>
            <w:noWrap w:val="0"/>
            <w:vAlign w:val="center"/>
          </w:tcPr>
          <w:p w14:paraId="4AEE07DF">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单位名称</w:t>
            </w:r>
          </w:p>
        </w:tc>
        <w:tc>
          <w:tcPr>
            <w:tcW w:w="1685" w:type="dxa"/>
            <w:tcBorders>
              <w:top w:val="single" w:color="auto" w:sz="12" w:space="0"/>
              <w:bottom w:val="single" w:color="auto" w:sz="12" w:space="0"/>
            </w:tcBorders>
            <w:noWrap w:val="0"/>
            <w:vAlign w:val="center"/>
          </w:tcPr>
          <w:p w14:paraId="0B65F47E">
            <w:pPr>
              <w:spacing w:line="400" w:lineRule="exact"/>
              <w:ind w:firstLine="240" w:firstLineChars="100"/>
              <w:jc w:val="center"/>
              <w:rPr>
                <w:rFonts w:hint="eastAsia" w:ascii="宋体" w:hAnsi="宋体" w:cs="宋体"/>
                <w:color w:val="auto"/>
                <w:sz w:val="24"/>
                <w:highlight w:val="none"/>
              </w:rPr>
            </w:pPr>
            <w:r>
              <w:rPr>
                <w:rFonts w:hint="eastAsia" w:ascii="宋体" w:hAnsi="宋体" w:cs="宋体"/>
                <w:color w:val="auto"/>
                <w:sz w:val="24"/>
                <w:highlight w:val="none"/>
              </w:rPr>
              <w:t>报价</w:t>
            </w:r>
          </w:p>
        </w:tc>
        <w:tc>
          <w:tcPr>
            <w:tcW w:w="1606" w:type="dxa"/>
            <w:tcBorders>
              <w:top w:val="single" w:color="auto" w:sz="12" w:space="0"/>
              <w:bottom w:val="single" w:color="auto" w:sz="12" w:space="0"/>
              <w:right w:val="single" w:color="auto" w:sz="12" w:space="0"/>
            </w:tcBorders>
            <w:noWrap w:val="0"/>
            <w:vAlign w:val="center"/>
          </w:tcPr>
          <w:p w14:paraId="3D47A933">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21FE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745" w:type="dxa"/>
            <w:tcBorders>
              <w:top w:val="single" w:color="auto" w:sz="12" w:space="0"/>
              <w:left w:val="single" w:color="auto" w:sz="12" w:space="0"/>
            </w:tcBorders>
            <w:noWrap w:val="0"/>
            <w:vAlign w:val="center"/>
          </w:tcPr>
          <w:p w14:paraId="53D46648">
            <w:pPr>
              <w:spacing w:line="400" w:lineRule="exact"/>
              <w:jc w:val="left"/>
              <w:rPr>
                <w:rFonts w:hint="eastAsia" w:ascii="宋体" w:hAnsi="宋体" w:cs="宋体"/>
                <w:color w:val="auto"/>
                <w:sz w:val="24"/>
                <w:highlight w:val="none"/>
              </w:rPr>
            </w:pPr>
          </w:p>
        </w:tc>
        <w:tc>
          <w:tcPr>
            <w:tcW w:w="2920" w:type="dxa"/>
            <w:tcBorders>
              <w:top w:val="single" w:color="auto" w:sz="12" w:space="0"/>
            </w:tcBorders>
            <w:noWrap w:val="0"/>
            <w:vAlign w:val="center"/>
          </w:tcPr>
          <w:p w14:paraId="26A02B90">
            <w:pPr>
              <w:spacing w:line="400" w:lineRule="exact"/>
              <w:jc w:val="left"/>
              <w:rPr>
                <w:rFonts w:hint="eastAsia" w:ascii="宋体" w:hAnsi="宋体" w:cs="宋体"/>
                <w:color w:val="auto"/>
                <w:sz w:val="24"/>
                <w:highlight w:val="none"/>
              </w:rPr>
            </w:pPr>
          </w:p>
        </w:tc>
        <w:tc>
          <w:tcPr>
            <w:tcW w:w="2880" w:type="dxa"/>
            <w:tcBorders>
              <w:top w:val="single" w:color="auto" w:sz="12" w:space="0"/>
            </w:tcBorders>
            <w:noWrap w:val="0"/>
            <w:vAlign w:val="center"/>
          </w:tcPr>
          <w:p w14:paraId="5583C7D5">
            <w:pPr>
              <w:spacing w:line="400" w:lineRule="exact"/>
              <w:jc w:val="left"/>
              <w:rPr>
                <w:rFonts w:hint="eastAsia" w:ascii="宋体" w:hAnsi="宋体" w:cs="宋体"/>
                <w:color w:val="auto"/>
                <w:sz w:val="24"/>
                <w:highlight w:val="none"/>
              </w:rPr>
            </w:pPr>
          </w:p>
        </w:tc>
        <w:tc>
          <w:tcPr>
            <w:tcW w:w="1685" w:type="dxa"/>
            <w:tcBorders>
              <w:top w:val="single" w:color="auto" w:sz="12" w:space="0"/>
            </w:tcBorders>
            <w:noWrap w:val="0"/>
            <w:vAlign w:val="center"/>
          </w:tcPr>
          <w:p w14:paraId="1A8BEB03">
            <w:pPr>
              <w:spacing w:line="400" w:lineRule="exact"/>
              <w:jc w:val="left"/>
              <w:rPr>
                <w:rFonts w:hint="eastAsia" w:ascii="宋体" w:hAnsi="宋体" w:cs="宋体"/>
                <w:color w:val="auto"/>
                <w:sz w:val="24"/>
                <w:highlight w:val="none"/>
              </w:rPr>
            </w:pPr>
          </w:p>
        </w:tc>
        <w:tc>
          <w:tcPr>
            <w:tcW w:w="1606" w:type="dxa"/>
            <w:tcBorders>
              <w:top w:val="single" w:color="auto" w:sz="12" w:space="0"/>
              <w:right w:val="single" w:color="auto" w:sz="12" w:space="0"/>
            </w:tcBorders>
            <w:noWrap w:val="0"/>
            <w:vAlign w:val="center"/>
          </w:tcPr>
          <w:p w14:paraId="09B904A8">
            <w:pPr>
              <w:spacing w:line="400" w:lineRule="exact"/>
              <w:jc w:val="left"/>
              <w:rPr>
                <w:rFonts w:hint="eastAsia" w:ascii="宋体" w:hAnsi="宋体" w:cs="宋体"/>
                <w:color w:val="auto"/>
                <w:sz w:val="24"/>
                <w:highlight w:val="none"/>
              </w:rPr>
            </w:pPr>
          </w:p>
        </w:tc>
      </w:tr>
      <w:tr w14:paraId="5BAC370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2800" w:hRule="atLeast"/>
        </w:trPr>
        <w:tc>
          <w:tcPr>
            <w:tcW w:w="9836" w:type="dxa"/>
            <w:gridSpan w:val="5"/>
            <w:tcBorders>
              <w:top w:val="single" w:color="auto" w:sz="12" w:space="0"/>
            </w:tcBorders>
            <w:noWrap w:val="0"/>
            <w:vAlign w:val="top"/>
          </w:tcPr>
          <w:p w14:paraId="665533EB">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报价依据和说明：</w:t>
            </w:r>
          </w:p>
        </w:tc>
      </w:tr>
    </w:tbl>
    <w:p w14:paraId="74FD0E6D">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投标单位（盖章）：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5D34357D">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法定代表或授权代表（签字或盖章）：</w:t>
      </w:r>
      <w:r>
        <w:rPr>
          <w:rFonts w:hint="eastAsia" w:ascii="宋体" w:hAnsi="宋体" w:cs="宋体"/>
          <w:color w:val="auto"/>
          <w:sz w:val="24"/>
          <w:highlight w:val="none"/>
          <w:u w:val="single"/>
        </w:rPr>
        <w:t xml:space="preserve">                     </w:t>
      </w:r>
    </w:p>
    <w:p w14:paraId="5A271D56">
      <w:pPr>
        <w:spacing w:line="400" w:lineRule="exact"/>
        <w:jc w:val="left"/>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6FFF1648">
      <w:pPr>
        <w:adjustRightInd w:val="0"/>
        <w:snapToGrid w:val="0"/>
        <w:spacing w:before="62" w:beforeLines="20" w:after="62" w:afterLines="20" w:line="360" w:lineRule="auto"/>
        <w:rPr>
          <w:rFonts w:hint="eastAsia" w:ascii="宋体" w:hAnsi="宋体" w:cs="宋体"/>
          <w:color w:val="auto"/>
          <w:sz w:val="24"/>
          <w:highlight w:val="none"/>
        </w:rPr>
      </w:pPr>
    </w:p>
    <w:p w14:paraId="45B11BF6">
      <w:pPr>
        <w:spacing w:line="400" w:lineRule="exact"/>
        <w:jc w:val="center"/>
        <w:rPr>
          <w:rFonts w:hint="eastAsia" w:ascii="宋体" w:hAnsi="宋体" w:cs="宋体"/>
          <w:b/>
          <w:color w:val="auto"/>
          <w:sz w:val="30"/>
          <w:szCs w:val="30"/>
          <w:highlight w:val="none"/>
        </w:rPr>
      </w:pPr>
    </w:p>
    <w:p w14:paraId="69620D62">
      <w:pPr>
        <w:pStyle w:val="2"/>
        <w:ind w:firstLine="602"/>
        <w:rPr>
          <w:rFonts w:hint="eastAsia" w:ascii="宋体" w:hAnsi="宋体" w:cs="宋体"/>
          <w:b/>
          <w:color w:val="auto"/>
          <w:sz w:val="30"/>
          <w:szCs w:val="30"/>
          <w:highlight w:val="none"/>
        </w:rPr>
      </w:pPr>
    </w:p>
    <w:p w14:paraId="28FE1C06">
      <w:pPr>
        <w:rPr>
          <w:rFonts w:hint="eastAsia" w:ascii="宋体" w:hAnsi="宋体" w:cs="宋体"/>
          <w:b/>
          <w:color w:val="auto"/>
          <w:sz w:val="30"/>
          <w:szCs w:val="30"/>
          <w:highlight w:val="none"/>
        </w:rPr>
      </w:pPr>
    </w:p>
    <w:p w14:paraId="7C3E3F83">
      <w:pPr>
        <w:pStyle w:val="2"/>
        <w:ind w:firstLine="602"/>
        <w:rPr>
          <w:rFonts w:hint="eastAsia" w:ascii="宋体" w:hAnsi="宋体" w:cs="宋体"/>
          <w:b/>
          <w:color w:val="auto"/>
          <w:sz w:val="30"/>
          <w:szCs w:val="30"/>
          <w:highlight w:val="none"/>
        </w:rPr>
      </w:pPr>
    </w:p>
    <w:p w14:paraId="399B5C31">
      <w:pPr>
        <w:rPr>
          <w:rFonts w:hint="eastAsia" w:ascii="宋体" w:hAnsi="宋体" w:cs="宋体"/>
          <w:b/>
          <w:color w:val="auto"/>
          <w:sz w:val="30"/>
          <w:szCs w:val="30"/>
          <w:highlight w:val="none"/>
        </w:rPr>
      </w:pPr>
    </w:p>
    <w:p w14:paraId="3327E492">
      <w:pPr>
        <w:pStyle w:val="2"/>
        <w:ind w:firstLine="602"/>
        <w:rPr>
          <w:rFonts w:hint="eastAsia" w:ascii="宋体" w:hAnsi="宋体" w:cs="宋体"/>
          <w:b/>
          <w:color w:val="auto"/>
          <w:sz w:val="30"/>
          <w:szCs w:val="30"/>
          <w:highlight w:val="none"/>
        </w:rPr>
      </w:pPr>
    </w:p>
    <w:p w14:paraId="0392BD58">
      <w:pPr>
        <w:rPr>
          <w:rFonts w:hint="eastAsia" w:ascii="宋体" w:hAnsi="宋体" w:cs="宋体"/>
          <w:b/>
          <w:color w:val="auto"/>
          <w:sz w:val="30"/>
          <w:szCs w:val="30"/>
          <w:highlight w:val="none"/>
        </w:rPr>
      </w:pPr>
    </w:p>
    <w:p w14:paraId="73D8F452">
      <w:pPr>
        <w:pStyle w:val="2"/>
        <w:ind w:firstLine="602"/>
        <w:rPr>
          <w:rFonts w:hint="eastAsia" w:ascii="宋体" w:hAnsi="宋体" w:cs="宋体"/>
          <w:b/>
          <w:color w:val="auto"/>
          <w:sz w:val="30"/>
          <w:szCs w:val="30"/>
          <w:highlight w:val="none"/>
        </w:rPr>
      </w:pPr>
    </w:p>
    <w:p w14:paraId="636EF799">
      <w:pPr>
        <w:rPr>
          <w:rFonts w:hint="eastAsia" w:ascii="宋体" w:hAnsi="宋体" w:cs="宋体"/>
          <w:b/>
          <w:color w:val="auto"/>
          <w:sz w:val="30"/>
          <w:szCs w:val="30"/>
          <w:highlight w:val="none"/>
        </w:rPr>
      </w:pPr>
    </w:p>
    <w:p w14:paraId="4096A176">
      <w:pPr>
        <w:pStyle w:val="2"/>
        <w:ind w:firstLine="480"/>
        <w:rPr>
          <w:rFonts w:hint="eastAsia"/>
          <w:color w:val="auto"/>
          <w:highlight w:val="none"/>
        </w:rPr>
      </w:pPr>
    </w:p>
    <w:p w14:paraId="08676720">
      <w:pPr>
        <w:spacing w:line="360" w:lineRule="auto"/>
        <w:jc w:val="center"/>
        <w:rPr>
          <w:rFonts w:hint="eastAsia" w:ascii="宋体" w:hAnsi="宋体" w:eastAsia="宋体" w:cs="Times New Roman"/>
          <w:b/>
          <w:color w:val="auto"/>
          <w:kern w:val="2"/>
          <w:sz w:val="28"/>
          <w:szCs w:val="28"/>
          <w:highlight w:val="none"/>
          <w:lang w:val="en-US" w:eastAsia="zh-CN" w:bidi="ar-SA"/>
        </w:rPr>
      </w:pPr>
    </w:p>
    <w:p w14:paraId="3C149E2A">
      <w:pPr>
        <w:spacing w:line="360" w:lineRule="auto"/>
        <w:jc w:val="center"/>
        <w:rPr>
          <w:rFonts w:hint="eastAsia" w:ascii="宋体" w:hAnsi="宋体" w:eastAsia="宋体" w:cs="Times New Roman"/>
          <w:b/>
          <w:color w:val="auto"/>
          <w:kern w:val="2"/>
          <w:sz w:val="28"/>
          <w:szCs w:val="28"/>
          <w:highlight w:val="none"/>
          <w:lang w:val="en-US" w:eastAsia="zh-CN" w:bidi="ar-SA"/>
        </w:rPr>
      </w:pPr>
      <w:r>
        <w:rPr>
          <w:rFonts w:hint="eastAsia" w:ascii="宋体" w:hAnsi="宋体" w:eastAsia="宋体" w:cs="Times New Roman"/>
          <w:b/>
          <w:color w:val="auto"/>
          <w:kern w:val="2"/>
          <w:sz w:val="28"/>
          <w:szCs w:val="28"/>
          <w:highlight w:val="none"/>
          <w:lang w:val="en-US" w:eastAsia="zh-CN" w:bidi="ar-SA"/>
        </w:rPr>
        <w:t>保证金缴纳情况表</w:t>
      </w:r>
    </w:p>
    <w:p w14:paraId="2B718923">
      <w:pPr>
        <w:tabs>
          <w:tab w:val="left" w:pos="7560"/>
        </w:tabs>
        <w:adjustRightInd w:val="0"/>
        <w:spacing w:before="62" w:beforeLines="20" w:after="62" w:afterLines="20" w:line="360" w:lineRule="auto"/>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（招标人名称）：</w:t>
      </w:r>
    </w:p>
    <w:p w14:paraId="0A182958">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（投标人名称）（以下称“我单位”）于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日参加</w:t>
      </w:r>
      <w:r>
        <w:rPr>
          <w:rFonts w:hint="eastAsia" w:ascii="宋体" w:hAnsi="宋体"/>
          <w:color w:val="auto"/>
          <w:sz w:val="24"/>
          <w:highlight w:val="none"/>
          <w:u w:val="single"/>
        </w:rPr>
        <w:t xml:space="preserve">     （项目名称）         </w:t>
      </w:r>
      <w:r>
        <w:rPr>
          <w:rFonts w:hint="eastAsia" w:ascii="宋体" w:hAnsi="宋体"/>
          <w:color w:val="auto"/>
          <w:sz w:val="24"/>
          <w:highlight w:val="none"/>
        </w:rPr>
        <w:t>标段施工监理的投标。对于我单位在规定的投标文件有效期内撤销或修改其投标文件的，或者在收到中标通知书后无正当理由拒签合同或拒交规定履约担保的等其它法律法规中规定的其它行为，我单位承担保证责任。</w:t>
      </w:r>
    </w:p>
    <w:p w14:paraId="7F96A261">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我单位投标保证金用</w:t>
      </w:r>
      <w:r>
        <w:rPr>
          <w:rFonts w:hint="eastAsia" w:ascii="宋体" w:hAnsi="宋体"/>
          <w:color w:val="auto"/>
          <w:sz w:val="24"/>
          <w:highlight w:val="none"/>
          <w:u w:val="single"/>
        </w:rPr>
        <w:t xml:space="preserve">         </w:t>
      </w:r>
      <w:r>
        <w:rPr>
          <w:rFonts w:hint="eastAsia" w:ascii="宋体" w:hAnsi="宋体"/>
          <w:color w:val="auto"/>
          <w:sz w:val="24"/>
          <w:highlight w:val="none"/>
        </w:rPr>
        <w:t>方式来缴纳，金额为</w:t>
      </w:r>
      <w:r>
        <w:rPr>
          <w:rFonts w:hint="eastAsia" w:ascii="宋体" w:hAnsi="宋体"/>
          <w:color w:val="auto"/>
          <w:sz w:val="24"/>
          <w:highlight w:val="none"/>
          <w:u w:val="single"/>
        </w:rPr>
        <w:t xml:space="preserve">       </w:t>
      </w:r>
      <w:r>
        <w:rPr>
          <w:rFonts w:hint="eastAsia" w:ascii="宋体" w:hAnsi="宋体"/>
          <w:color w:val="auto"/>
          <w:sz w:val="24"/>
          <w:highlight w:val="none"/>
        </w:rPr>
        <w:t>（大写）。</w:t>
      </w:r>
    </w:p>
    <w:p w14:paraId="7C396C2B">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57D22E68">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（盖单位公章）</w:t>
      </w:r>
    </w:p>
    <w:p w14:paraId="2A04D265">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法定代表人或其委托代理人：</w:t>
      </w:r>
      <w:r>
        <w:rPr>
          <w:rFonts w:hint="eastAsia" w:ascii="宋体" w:hAnsi="宋体"/>
          <w:color w:val="auto"/>
          <w:sz w:val="24"/>
          <w:highlight w:val="none"/>
          <w:u w:val="single"/>
        </w:rPr>
        <w:t xml:space="preserve"> （签字或盖章）</w:t>
      </w:r>
    </w:p>
    <w:p w14:paraId="074264A8">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地址：                                               </w:t>
      </w:r>
    </w:p>
    <w:p w14:paraId="1470B533">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邮政编码：                                           </w:t>
      </w:r>
    </w:p>
    <w:p w14:paraId="190C0487">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电话：                                               </w:t>
      </w:r>
    </w:p>
    <w:p w14:paraId="7089CA8E">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传真：                                               </w:t>
      </w:r>
    </w:p>
    <w:p w14:paraId="5EFF98F4">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4A2A2039">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p>
    <w:p w14:paraId="60B34BC3">
      <w:pPr>
        <w:tabs>
          <w:tab w:val="left" w:pos="7560"/>
        </w:tabs>
        <w:adjustRightInd w:val="0"/>
        <w:spacing w:before="62" w:beforeLines="20" w:after="62" w:afterLines="2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 xml:space="preserve">                                                 年       月        日</w:t>
      </w:r>
    </w:p>
    <w:p w14:paraId="2FF0F03A">
      <w:pPr>
        <w:autoSpaceDE w:val="0"/>
        <w:autoSpaceDN w:val="0"/>
        <w:adjustRightInd w:val="0"/>
        <w:spacing w:line="360" w:lineRule="auto"/>
        <w:rPr>
          <w:rFonts w:hint="eastAsia" w:ascii="宋体" w:hAnsi="宋体" w:cs="宋体"/>
          <w:b/>
          <w:color w:val="auto"/>
          <w:sz w:val="24"/>
          <w:highlight w:val="none"/>
        </w:rPr>
        <w:sectPr>
          <w:footerReference r:id="rId6" w:type="default"/>
          <w:pgSz w:w="11906" w:h="16838"/>
          <w:pgMar w:top="1089" w:right="1247" w:bottom="1089" w:left="1276" w:header="720" w:footer="720" w:gutter="0"/>
          <w:pgNumType w:start="1"/>
          <w:cols w:space="720" w:num="1"/>
          <w:docGrid w:type="lines" w:linePitch="312" w:charSpace="0"/>
        </w:sectPr>
      </w:pPr>
      <w:r>
        <w:rPr>
          <w:rFonts w:hint="eastAsia" w:ascii="宋体" w:hAnsi="宋体" w:cs="宋体"/>
          <w:b/>
          <w:color w:val="auto"/>
          <w:sz w:val="24"/>
          <w:highlight w:val="none"/>
        </w:rPr>
        <w:t xml:space="preserve">          </w:t>
      </w:r>
    </w:p>
    <w:p w14:paraId="217A6A98">
      <w:pPr>
        <w:tabs>
          <w:tab w:val="left" w:pos="7560"/>
        </w:tabs>
        <w:adjustRightInd w:val="0"/>
        <w:spacing w:before="62" w:beforeLines="20" w:after="62" w:afterLines="20" w:line="360" w:lineRule="auto"/>
        <w:jc w:val="center"/>
        <w:rPr>
          <w:rFonts w:hint="eastAsia" w:ascii="宋体" w:hAnsi="宋体"/>
          <w:b/>
          <w:bCs/>
          <w:color w:val="auto"/>
          <w:sz w:val="28"/>
          <w:szCs w:val="28"/>
          <w:highlight w:val="none"/>
        </w:rPr>
      </w:pPr>
      <w:r>
        <w:rPr>
          <w:rFonts w:hint="eastAsia" w:ascii="宋体" w:hAnsi="宋体"/>
          <w:b/>
          <w:bCs/>
          <w:color w:val="auto"/>
          <w:sz w:val="28"/>
          <w:szCs w:val="28"/>
          <w:highlight w:val="none"/>
        </w:rPr>
        <w:t>转账记录复印件（转账形式保证金必须提供）</w:t>
      </w:r>
    </w:p>
    <w:p w14:paraId="21FB68B3">
      <w:pPr>
        <w:spacing w:line="360" w:lineRule="auto"/>
        <w:jc w:val="center"/>
        <w:rPr>
          <w:rFonts w:ascii="宋体" w:hAnsi="宋体"/>
          <w:b/>
          <w:bCs/>
          <w:color w:val="auto"/>
          <w:sz w:val="32"/>
          <w:szCs w:val="32"/>
          <w:highlight w:val="none"/>
        </w:rPr>
      </w:pPr>
    </w:p>
    <w:p w14:paraId="22BC2AE0">
      <w:pPr>
        <w:wordWrap w:val="0"/>
        <w:spacing w:line="360" w:lineRule="auto"/>
        <w:jc w:val="right"/>
        <w:rPr>
          <w:rFonts w:ascii="宋体" w:hAnsi="宋体"/>
          <w:color w:val="auto"/>
          <w:highlight w:val="none"/>
        </w:rPr>
      </w:pPr>
      <w:r>
        <w:rPr>
          <w:rFonts w:ascii="宋体" w:hAnsi="宋体"/>
          <w:color w:val="auto"/>
          <w:highlight w:val="none"/>
        </w:rPr>
        <w:t xml:space="preserve">      </w:t>
      </w:r>
    </w:p>
    <w:p w14:paraId="3A6A2AB7">
      <w:pPr>
        <w:tabs>
          <w:tab w:val="left" w:pos="7560"/>
        </w:tabs>
        <w:adjustRightInd w:val="0"/>
        <w:spacing w:before="62" w:beforeLines="20" w:after="62" w:afterLines="20" w:line="360" w:lineRule="auto"/>
        <w:jc w:val="center"/>
        <w:rPr>
          <w:rFonts w:hint="eastAsia" w:ascii="宋体" w:hAnsi="宋体"/>
          <w:b/>
          <w:bCs/>
          <w:color w:val="auto"/>
          <w:sz w:val="28"/>
          <w:szCs w:val="28"/>
          <w:highlight w:val="none"/>
        </w:rPr>
      </w:pPr>
      <w:r>
        <w:rPr>
          <w:rFonts w:hint="eastAsia" w:ascii="宋体" w:hAnsi="宋体"/>
          <w:b/>
          <w:bCs/>
          <w:color w:val="auto"/>
          <w:sz w:val="28"/>
          <w:szCs w:val="28"/>
          <w:highlight w:val="none"/>
        </w:rPr>
        <w:t>退还投标保证金账户信息登记表（转账形式保证金必须填写）</w:t>
      </w:r>
    </w:p>
    <w:p w14:paraId="329176DF">
      <w:pPr>
        <w:pStyle w:val="8"/>
        <w:ind w:firstLine="562"/>
        <w:jc w:val="center"/>
        <w:rPr>
          <w:rFonts w:ascii="宋体" w:hAnsi="宋体" w:cs="仿宋_GB2312"/>
          <w:b/>
          <w:color w:val="auto"/>
          <w:sz w:val="28"/>
          <w:szCs w:val="28"/>
          <w:highlight w:val="none"/>
        </w:rPr>
      </w:pPr>
    </w:p>
    <w:tbl>
      <w:tblPr>
        <w:tblStyle w:val="25"/>
        <w:tblW w:w="926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216"/>
        <w:gridCol w:w="6130"/>
      </w:tblGrid>
      <w:tr w14:paraId="5BDE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restart"/>
            <w:noWrap w:val="0"/>
            <w:vAlign w:val="center"/>
          </w:tcPr>
          <w:p w14:paraId="318692C1">
            <w:pPr>
              <w:pStyle w:val="70"/>
              <w:ind w:firstLine="0"/>
              <w:jc w:val="center"/>
              <w:rPr>
                <w:rFonts w:ascii="宋体" w:hAnsi="宋体" w:cs="宋体"/>
                <w:color w:val="auto"/>
                <w:highlight w:val="none"/>
              </w:rPr>
            </w:pPr>
            <w:r>
              <w:rPr>
                <w:rFonts w:hint="eastAsia" w:ascii="宋体" w:hAnsi="宋体" w:cs="宋体"/>
                <w:color w:val="auto"/>
                <w:highlight w:val="none"/>
              </w:rPr>
              <w:t>收款账户信息</w:t>
            </w:r>
          </w:p>
        </w:tc>
        <w:tc>
          <w:tcPr>
            <w:tcW w:w="1216" w:type="dxa"/>
            <w:noWrap w:val="0"/>
            <w:vAlign w:val="center"/>
          </w:tcPr>
          <w:p w14:paraId="0EF59048">
            <w:pPr>
              <w:pStyle w:val="70"/>
              <w:ind w:firstLine="0"/>
              <w:jc w:val="center"/>
              <w:rPr>
                <w:rFonts w:ascii="宋体" w:hAnsi="宋体" w:cs="宋体"/>
                <w:color w:val="auto"/>
                <w:highlight w:val="none"/>
              </w:rPr>
            </w:pPr>
            <w:r>
              <w:rPr>
                <w:rFonts w:hint="eastAsia" w:ascii="宋体" w:hAnsi="宋体" w:cs="宋体"/>
                <w:color w:val="auto"/>
                <w:highlight w:val="none"/>
              </w:rPr>
              <w:t>开户名</w:t>
            </w:r>
          </w:p>
        </w:tc>
        <w:tc>
          <w:tcPr>
            <w:tcW w:w="6130" w:type="dxa"/>
            <w:noWrap w:val="0"/>
            <w:vAlign w:val="center"/>
          </w:tcPr>
          <w:p w14:paraId="16205E6E">
            <w:pPr>
              <w:pStyle w:val="70"/>
              <w:ind w:firstLine="0"/>
              <w:jc w:val="center"/>
              <w:rPr>
                <w:rFonts w:ascii="宋体" w:hAnsi="宋体" w:cs="宋体"/>
                <w:color w:val="auto"/>
                <w:highlight w:val="none"/>
              </w:rPr>
            </w:pPr>
          </w:p>
        </w:tc>
      </w:tr>
      <w:tr w14:paraId="788D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continue"/>
            <w:noWrap w:val="0"/>
            <w:vAlign w:val="center"/>
          </w:tcPr>
          <w:p w14:paraId="622E549F">
            <w:pPr>
              <w:pStyle w:val="70"/>
              <w:ind w:firstLine="0"/>
              <w:jc w:val="center"/>
              <w:rPr>
                <w:rFonts w:ascii="宋体" w:hAnsi="宋体" w:cs="宋体"/>
                <w:color w:val="auto"/>
                <w:highlight w:val="none"/>
              </w:rPr>
            </w:pPr>
          </w:p>
        </w:tc>
        <w:tc>
          <w:tcPr>
            <w:tcW w:w="1216" w:type="dxa"/>
            <w:noWrap w:val="0"/>
            <w:vAlign w:val="center"/>
          </w:tcPr>
          <w:p w14:paraId="55F96130">
            <w:pPr>
              <w:pStyle w:val="70"/>
              <w:ind w:firstLine="0"/>
              <w:jc w:val="center"/>
              <w:rPr>
                <w:rFonts w:ascii="宋体" w:hAnsi="宋体" w:cs="宋体"/>
                <w:color w:val="auto"/>
                <w:highlight w:val="none"/>
              </w:rPr>
            </w:pPr>
            <w:r>
              <w:rPr>
                <w:rFonts w:hint="eastAsia" w:ascii="宋体" w:hAnsi="宋体" w:cs="宋体"/>
                <w:color w:val="auto"/>
                <w:highlight w:val="none"/>
              </w:rPr>
              <w:t>开户号</w:t>
            </w:r>
          </w:p>
        </w:tc>
        <w:tc>
          <w:tcPr>
            <w:tcW w:w="6130" w:type="dxa"/>
            <w:noWrap w:val="0"/>
            <w:vAlign w:val="center"/>
          </w:tcPr>
          <w:p w14:paraId="6A172E69">
            <w:pPr>
              <w:pStyle w:val="70"/>
              <w:jc w:val="center"/>
              <w:rPr>
                <w:rFonts w:ascii="宋体" w:hAnsi="宋体" w:cs="宋体"/>
                <w:color w:val="auto"/>
                <w:highlight w:val="none"/>
              </w:rPr>
            </w:pPr>
          </w:p>
        </w:tc>
      </w:tr>
      <w:tr w14:paraId="35C4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continue"/>
            <w:noWrap w:val="0"/>
            <w:vAlign w:val="center"/>
          </w:tcPr>
          <w:p w14:paraId="3BE664AD">
            <w:pPr>
              <w:pStyle w:val="70"/>
              <w:ind w:firstLine="0"/>
              <w:jc w:val="center"/>
              <w:rPr>
                <w:rFonts w:ascii="宋体" w:hAnsi="宋体" w:cs="宋体"/>
                <w:color w:val="auto"/>
                <w:highlight w:val="none"/>
              </w:rPr>
            </w:pPr>
          </w:p>
        </w:tc>
        <w:tc>
          <w:tcPr>
            <w:tcW w:w="1216" w:type="dxa"/>
            <w:noWrap w:val="0"/>
            <w:vAlign w:val="center"/>
          </w:tcPr>
          <w:p w14:paraId="10A8F973">
            <w:pPr>
              <w:pStyle w:val="70"/>
              <w:ind w:firstLine="0"/>
              <w:jc w:val="center"/>
              <w:rPr>
                <w:rFonts w:ascii="宋体" w:hAnsi="宋体" w:cs="宋体"/>
                <w:color w:val="auto"/>
                <w:highlight w:val="none"/>
              </w:rPr>
            </w:pPr>
            <w:r>
              <w:rPr>
                <w:rFonts w:hint="eastAsia" w:ascii="宋体" w:hAnsi="宋体" w:cs="宋体"/>
                <w:color w:val="auto"/>
                <w:highlight w:val="none"/>
              </w:rPr>
              <w:t>开户行</w:t>
            </w:r>
          </w:p>
        </w:tc>
        <w:tc>
          <w:tcPr>
            <w:tcW w:w="6130" w:type="dxa"/>
            <w:noWrap w:val="0"/>
            <w:vAlign w:val="center"/>
          </w:tcPr>
          <w:p w14:paraId="47A19CF9">
            <w:pPr>
              <w:pStyle w:val="70"/>
              <w:jc w:val="center"/>
              <w:rPr>
                <w:rFonts w:ascii="宋体" w:hAnsi="宋体" w:cs="宋体"/>
                <w:color w:val="auto"/>
                <w:highlight w:val="none"/>
              </w:rPr>
            </w:pPr>
          </w:p>
        </w:tc>
      </w:tr>
      <w:tr w14:paraId="483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restart"/>
            <w:noWrap w:val="0"/>
            <w:vAlign w:val="center"/>
          </w:tcPr>
          <w:p w14:paraId="2117E2D2">
            <w:pPr>
              <w:pStyle w:val="70"/>
              <w:ind w:firstLine="0"/>
              <w:jc w:val="center"/>
              <w:rPr>
                <w:rFonts w:ascii="宋体" w:hAnsi="宋体" w:cs="宋体"/>
                <w:color w:val="auto"/>
                <w:highlight w:val="none"/>
              </w:rPr>
            </w:pPr>
            <w:r>
              <w:rPr>
                <w:rFonts w:hint="eastAsia" w:ascii="宋体" w:hAnsi="宋体" w:cs="宋体"/>
                <w:color w:val="auto"/>
                <w:highlight w:val="none"/>
              </w:rPr>
              <w:t>保证金回执单信息</w:t>
            </w:r>
          </w:p>
        </w:tc>
        <w:tc>
          <w:tcPr>
            <w:tcW w:w="1216" w:type="dxa"/>
            <w:noWrap w:val="0"/>
            <w:vAlign w:val="center"/>
          </w:tcPr>
          <w:p w14:paraId="66C95C6D">
            <w:pPr>
              <w:pStyle w:val="70"/>
              <w:ind w:firstLine="0"/>
              <w:jc w:val="center"/>
              <w:rPr>
                <w:rFonts w:hint="eastAsia" w:ascii="宋体" w:hAnsi="宋体" w:cs="宋体"/>
                <w:color w:val="auto"/>
                <w:highlight w:val="none"/>
              </w:rPr>
            </w:pPr>
            <w:r>
              <w:rPr>
                <w:rFonts w:hint="eastAsia" w:ascii="宋体" w:hAnsi="宋体" w:cs="宋体"/>
                <w:color w:val="auto"/>
                <w:highlight w:val="none"/>
              </w:rPr>
              <w:t>转账事由</w:t>
            </w:r>
          </w:p>
        </w:tc>
        <w:tc>
          <w:tcPr>
            <w:tcW w:w="6130" w:type="dxa"/>
            <w:noWrap w:val="0"/>
            <w:vAlign w:val="center"/>
          </w:tcPr>
          <w:p w14:paraId="1F9545B6">
            <w:pPr>
              <w:pStyle w:val="70"/>
              <w:jc w:val="both"/>
              <w:rPr>
                <w:rFonts w:hint="eastAsia" w:ascii="宋体" w:hAnsi="宋体" w:cs="宋体"/>
                <w:color w:val="auto"/>
                <w:highlight w:val="none"/>
              </w:rPr>
            </w:pPr>
            <w:r>
              <w:rPr>
                <w:rFonts w:hint="eastAsia" w:ascii="宋体" w:hAnsi="宋体" w:cs="宋体"/>
                <w:color w:val="auto"/>
                <w:highlight w:val="none"/>
              </w:rPr>
              <w:t>（项目名称）投标保证金</w:t>
            </w:r>
          </w:p>
        </w:tc>
      </w:tr>
      <w:tr w14:paraId="4E88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continue"/>
            <w:noWrap w:val="0"/>
            <w:vAlign w:val="center"/>
          </w:tcPr>
          <w:p w14:paraId="70DA190B">
            <w:pPr>
              <w:pStyle w:val="70"/>
              <w:ind w:firstLine="0"/>
              <w:jc w:val="center"/>
              <w:rPr>
                <w:rFonts w:ascii="宋体" w:hAnsi="宋体" w:cs="宋体"/>
                <w:color w:val="auto"/>
                <w:highlight w:val="none"/>
              </w:rPr>
            </w:pPr>
          </w:p>
        </w:tc>
        <w:tc>
          <w:tcPr>
            <w:tcW w:w="1216" w:type="dxa"/>
            <w:noWrap w:val="0"/>
            <w:vAlign w:val="center"/>
          </w:tcPr>
          <w:p w14:paraId="1E03FEE4">
            <w:pPr>
              <w:pStyle w:val="70"/>
              <w:ind w:firstLine="0"/>
              <w:jc w:val="center"/>
              <w:rPr>
                <w:rFonts w:hint="eastAsia" w:ascii="宋体" w:hAnsi="宋体" w:cs="宋体"/>
                <w:color w:val="auto"/>
                <w:highlight w:val="none"/>
              </w:rPr>
            </w:pPr>
            <w:r>
              <w:rPr>
                <w:rFonts w:hint="eastAsia" w:ascii="宋体" w:hAnsi="宋体" w:cs="宋体"/>
                <w:color w:val="auto"/>
                <w:highlight w:val="none"/>
              </w:rPr>
              <w:t>转账金额</w:t>
            </w:r>
          </w:p>
        </w:tc>
        <w:tc>
          <w:tcPr>
            <w:tcW w:w="6130" w:type="dxa"/>
            <w:noWrap w:val="0"/>
            <w:vAlign w:val="center"/>
          </w:tcPr>
          <w:p w14:paraId="1467A641">
            <w:pPr>
              <w:pStyle w:val="70"/>
              <w:jc w:val="both"/>
              <w:rPr>
                <w:rFonts w:ascii="宋体" w:hAnsi="宋体" w:cs="宋体"/>
                <w:color w:val="auto"/>
                <w:highlight w:val="none"/>
              </w:rPr>
            </w:pPr>
            <w:r>
              <w:rPr>
                <w:rFonts w:hint="eastAsia" w:ascii="宋体" w:hAnsi="宋体" w:cs="宋体"/>
                <w:color w:val="auto"/>
                <w:highlight w:val="none"/>
              </w:rPr>
              <w:t>小写：¥      元；大写：人民币      元</w:t>
            </w:r>
          </w:p>
        </w:tc>
      </w:tr>
      <w:tr w14:paraId="4777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14" w:type="dxa"/>
            <w:vMerge w:val="continue"/>
            <w:noWrap w:val="0"/>
            <w:vAlign w:val="center"/>
          </w:tcPr>
          <w:p w14:paraId="6E21DFE6">
            <w:pPr>
              <w:pStyle w:val="70"/>
              <w:ind w:firstLine="0"/>
              <w:jc w:val="center"/>
              <w:rPr>
                <w:rFonts w:ascii="宋体" w:hAnsi="宋体" w:cs="宋体"/>
                <w:color w:val="auto"/>
                <w:highlight w:val="none"/>
              </w:rPr>
            </w:pPr>
          </w:p>
        </w:tc>
        <w:tc>
          <w:tcPr>
            <w:tcW w:w="1216" w:type="dxa"/>
            <w:noWrap w:val="0"/>
            <w:vAlign w:val="center"/>
          </w:tcPr>
          <w:p w14:paraId="1190E4D4">
            <w:pPr>
              <w:pStyle w:val="70"/>
              <w:ind w:firstLine="0"/>
              <w:jc w:val="center"/>
              <w:rPr>
                <w:rFonts w:hint="eastAsia" w:ascii="宋体" w:hAnsi="宋体" w:cs="宋体"/>
                <w:color w:val="auto"/>
                <w:highlight w:val="none"/>
              </w:rPr>
            </w:pPr>
            <w:r>
              <w:rPr>
                <w:rFonts w:hint="eastAsia" w:ascii="宋体" w:hAnsi="宋体" w:cs="宋体"/>
                <w:color w:val="auto"/>
                <w:highlight w:val="none"/>
              </w:rPr>
              <w:t>转账时间</w:t>
            </w:r>
          </w:p>
        </w:tc>
        <w:tc>
          <w:tcPr>
            <w:tcW w:w="6130" w:type="dxa"/>
            <w:noWrap w:val="0"/>
            <w:vAlign w:val="center"/>
          </w:tcPr>
          <w:p w14:paraId="0C2FF93C">
            <w:pPr>
              <w:pStyle w:val="70"/>
              <w:ind w:firstLine="1260" w:firstLineChars="600"/>
              <w:jc w:val="both"/>
              <w:rPr>
                <w:rFonts w:ascii="宋体" w:hAnsi="宋体" w:cs="宋体"/>
                <w:color w:val="auto"/>
                <w:highlight w:val="none"/>
              </w:rPr>
            </w:pPr>
            <w:r>
              <w:rPr>
                <w:rFonts w:hint="eastAsia" w:ascii="宋体" w:hAnsi="宋体" w:cs="宋体"/>
                <w:color w:val="auto"/>
                <w:highlight w:val="none"/>
              </w:rPr>
              <w:t>年   月   日</w:t>
            </w:r>
          </w:p>
        </w:tc>
      </w:tr>
    </w:tbl>
    <w:p w14:paraId="44AC7748">
      <w:pPr>
        <w:pStyle w:val="70"/>
        <w:rPr>
          <w:rFonts w:ascii="宋体" w:hAnsi="宋体" w:cs="宋体"/>
          <w:color w:val="auto"/>
          <w:highlight w:val="none"/>
        </w:rPr>
      </w:pPr>
    </w:p>
    <w:p w14:paraId="72AF38F9">
      <w:pPr>
        <w:pStyle w:val="70"/>
        <w:jc w:val="right"/>
        <w:rPr>
          <w:rFonts w:hint="eastAsia" w:ascii="宋体" w:hAnsi="宋体" w:cs="宋体"/>
          <w:color w:val="auto"/>
          <w:highlight w:val="none"/>
        </w:rPr>
      </w:pPr>
    </w:p>
    <w:p w14:paraId="50F148E1">
      <w:pPr>
        <w:pStyle w:val="70"/>
        <w:jc w:val="right"/>
        <w:rPr>
          <w:rFonts w:ascii="宋体" w:hAnsi="宋体" w:cs="宋体"/>
          <w:color w:val="auto"/>
          <w:highlight w:val="none"/>
        </w:rPr>
      </w:pPr>
      <w:r>
        <w:rPr>
          <w:rFonts w:hint="eastAsia" w:ascii="宋体" w:hAnsi="宋体" w:cs="宋体"/>
          <w:color w:val="auto"/>
          <w:highlight w:val="none"/>
        </w:rPr>
        <w:t>投标人盖章（公章）</w:t>
      </w:r>
    </w:p>
    <w:p w14:paraId="0E6AE07A">
      <w:pPr>
        <w:pStyle w:val="70"/>
        <w:jc w:val="right"/>
        <w:rPr>
          <w:rFonts w:hint="eastAsia" w:ascii="宋体" w:hAnsi="宋体" w:cs="宋体"/>
          <w:color w:val="auto"/>
          <w:highlight w:val="none"/>
        </w:rPr>
      </w:pPr>
    </w:p>
    <w:p w14:paraId="282308AB">
      <w:pPr>
        <w:pStyle w:val="70"/>
        <w:jc w:val="right"/>
        <w:rPr>
          <w:rFonts w:ascii="宋体" w:hAnsi="宋体" w:cs="宋体"/>
          <w:color w:val="auto"/>
          <w:highlight w:val="none"/>
        </w:rPr>
      </w:pPr>
      <w:r>
        <w:rPr>
          <w:rFonts w:hint="eastAsia" w:ascii="宋体" w:hAnsi="宋体" w:cs="宋体"/>
          <w:color w:val="auto"/>
          <w:highlight w:val="none"/>
        </w:rPr>
        <w:t>日期：    年   月   日</w:t>
      </w:r>
    </w:p>
    <w:p w14:paraId="02D94F76">
      <w:pPr>
        <w:spacing w:line="360" w:lineRule="auto"/>
        <w:rPr>
          <w:rFonts w:ascii="宋体" w:hAnsi="宋体" w:cs="宋体"/>
          <w:color w:val="auto"/>
          <w:sz w:val="28"/>
          <w:szCs w:val="28"/>
          <w:highlight w:val="none"/>
        </w:rPr>
      </w:pPr>
    </w:p>
    <w:p w14:paraId="1560EC24">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574A3B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b/>
          <w:color w:val="auto"/>
          <w:sz w:val="32"/>
          <w:szCs w:val="32"/>
          <w:highlight w:val="none"/>
        </w:rPr>
      </w:pPr>
      <w:r>
        <w:rPr>
          <w:rFonts w:hint="eastAsia" w:ascii="宋体" w:hAnsi="宋体" w:cs="宋体"/>
          <w:b/>
          <w:color w:val="auto"/>
          <w:sz w:val="32"/>
          <w:szCs w:val="32"/>
          <w:highlight w:val="none"/>
        </w:rPr>
        <w:t>第八部分、评标办法和标准</w:t>
      </w:r>
    </w:p>
    <w:p w14:paraId="70040B00">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b/>
          <w:color w:val="auto"/>
          <w:sz w:val="32"/>
          <w:szCs w:val="32"/>
          <w:highlight w:val="none"/>
        </w:rPr>
        <w:t>综合评估法</w:t>
      </w:r>
    </w:p>
    <w:p w14:paraId="6AC785DF">
      <w:pPr>
        <w:pStyle w:val="53"/>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一、总则</w:t>
      </w:r>
    </w:p>
    <w:p w14:paraId="52D466D1">
      <w:pPr>
        <w:pStyle w:val="53"/>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为维护招投标双方的合法权益，增加评标工作透明度，保证评标、定标的科学性、公正性和可操作性，根据《招标投标法》、《招标投标法实施条例》、《评标委员会和评标办法暂行规定（七部委12号令）》等法律法规的精神，结合本市实际制定本办法。</w:t>
      </w:r>
      <w:r>
        <w:rPr>
          <w:rFonts w:hint="eastAsia" w:ascii="宋体" w:hAnsi="宋体" w:cs="宋体"/>
          <w:b/>
          <w:bCs/>
          <w:color w:val="auto"/>
          <w:sz w:val="24"/>
          <w:szCs w:val="24"/>
          <w:highlight w:val="none"/>
        </w:rPr>
        <w:t>本招标文件其它部分与本评标办法不一致的，以本办法的规定为准。</w:t>
      </w:r>
    </w:p>
    <w:p w14:paraId="3BCF3FF1">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二、评标程序</w:t>
      </w:r>
    </w:p>
    <w:p w14:paraId="42A386A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2.1开标时，评标委员会应按照本章规定的评审顺序依次进行。前一顺序评审通过的方可进行下一顺序评审，已进入下一顺序评审的，评审委员会不应再对前面顺序评审的结果进行重新复核。</w:t>
      </w:r>
    </w:p>
    <w:p w14:paraId="11205E3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评标委员会对招标文件及评标方法中存在模糊不清、不易理解的内容，可要求招标人或代理机构解释澄清。解释澄清的内容合理的，评委会应当接受；解释澄清的内容超出了招标文件字面含义、违背了相关法律法规的，评委会应当拒绝并根据自己的专业素质做出判断</w:t>
      </w:r>
      <w:r>
        <w:rPr>
          <w:rFonts w:hint="eastAsia" w:asciiTheme="minorEastAsia" w:hAnsiTheme="minorEastAsia" w:eastAsiaTheme="minorEastAsia" w:cstheme="minorEastAsia"/>
          <w:color w:val="auto"/>
          <w:sz w:val="24"/>
          <w:szCs w:val="24"/>
          <w:highlight w:val="none"/>
        </w:rPr>
        <w:t>。</w:t>
      </w:r>
    </w:p>
    <w:p w14:paraId="14DA6ED8">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2.3现场出席开标会议的投标人法定代表人或授权委托人在答复专家质询或对开评标程序提出异议时需出示身份证原件，并提供身份证件复印件交招标代理机构核验（授权委托人同时需提交授权委托书，法人需提供法人身份证明书），不能证明身份的澄清无效，并视为放弃澄清的权力，不能证明身份的异议不被接收。</w:t>
      </w:r>
    </w:p>
    <w:p w14:paraId="2A891EE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2.4</w:t>
      </w:r>
      <w:r>
        <w:rPr>
          <w:rFonts w:hint="eastAsia" w:asciiTheme="minorEastAsia" w:hAnsiTheme="minorEastAsia" w:eastAsiaTheme="minorEastAsia" w:cstheme="minorEastAsia"/>
          <w:color w:val="auto"/>
          <w:sz w:val="24"/>
          <w:szCs w:val="24"/>
          <w:highlight w:val="none"/>
        </w:rPr>
        <w:t>评标委员会按评标办法，推荐有排序的预中标候选人。对否定的投标文件，评委要提出充足的否定理由，并填写在评标记录上；对认定出现异议的，按照少数服从多数的原则由评委采取投票方式表决确定。评委对评标结论有异议的应用书面方式阐述，评委拒绝在评标报告上签字且不陈述其不同意见和理由的，视为同意评标结论。</w:t>
      </w:r>
    </w:p>
    <w:p w14:paraId="4B13C27D">
      <w:pPr>
        <w:pStyle w:val="2"/>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2.5</w:t>
      </w:r>
      <w:r>
        <w:rPr>
          <w:rFonts w:hint="eastAsia" w:asciiTheme="minorEastAsia" w:hAnsiTheme="minorEastAsia" w:eastAsiaTheme="minorEastAsia" w:cstheme="minorEastAsia"/>
          <w:b/>
          <w:bCs/>
          <w:color w:val="auto"/>
          <w:szCs w:val="24"/>
          <w:highlight w:val="none"/>
        </w:rPr>
        <w:t>当通过投标资格评审的投标人少于3家的，</w:t>
      </w:r>
      <w:r>
        <w:rPr>
          <w:rFonts w:hint="eastAsia" w:asciiTheme="minorEastAsia" w:hAnsiTheme="minorEastAsia" w:eastAsiaTheme="minorEastAsia" w:cstheme="minorEastAsia"/>
          <w:color w:val="auto"/>
          <w:szCs w:val="24"/>
          <w:highlight w:val="none"/>
        </w:rPr>
        <w:t>评标委员会应当对本次招标是否具有竞争性进行评审。评标委员会所有成员一致认为仍具有竞争性的，应当继续评审，并在评标报告中予以说明。评标委员会个别或全部成员认为不再具有竞争性的，评标委员会应当否决全部投标，本次招标做流标处理。</w:t>
      </w:r>
    </w:p>
    <w:p w14:paraId="2CAFE93E">
      <w:pPr>
        <w:pStyle w:val="53"/>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color w:val="auto"/>
          <w:sz w:val="24"/>
          <w:szCs w:val="24"/>
          <w:highlight w:val="none"/>
        </w:rPr>
      </w:pPr>
      <w:r>
        <w:rPr>
          <w:rFonts w:hint="eastAsia" w:asciiTheme="minorEastAsia" w:hAnsiTheme="minorEastAsia" w:eastAsiaTheme="minorEastAsia" w:cstheme="minorEastAsia"/>
          <w:color w:val="auto"/>
          <w:sz w:val="24"/>
          <w:szCs w:val="24"/>
          <w:highlight w:val="none"/>
        </w:rPr>
        <w:t>2.6流标的项目，评标委员会除应在评标报告上说明认定项目流标的理由外，还应分析流标产生的可能原因、招标文件有无不合理条款，并提出预防再次流标的措施和建议。</w:t>
      </w:r>
    </w:p>
    <w:p w14:paraId="74F964C9">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ascii="宋体" w:hAnsi="宋体" w:cs="宋体"/>
          <w:b/>
          <w:color w:val="auto"/>
          <w:sz w:val="24"/>
          <w:highlight w:val="none"/>
        </w:rPr>
      </w:pPr>
      <w:r>
        <w:rPr>
          <w:rFonts w:hint="eastAsia" w:ascii="宋体" w:hAnsi="宋体" w:cs="宋体"/>
          <w:b/>
          <w:color w:val="auto"/>
          <w:sz w:val="24"/>
          <w:szCs w:val="24"/>
          <w:highlight w:val="none"/>
        </w:rPr>
        <w:t>三、资格审查</w:t>
      </w:r>
    </w:p>
    <w:tbl>
      <w:tblPr>
        <w:tblStyle w:val="25"/>
        <w:tblW w:w="9886"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49"/>
        <w:gridCol w:w="1552"/>
        <w:gridCol w:w="2370"/>
        <w:gridCol w:w="2666"/>
        <w:gridCol w:w="2649"/>
      </w:tblGrid>
      <w:tr w14:paraId="634F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atLeast"/>
          <w:tblCellSpacing w:w="0" w:type="dxa"/>
          <w:jc w:val="center"/>
        </w:trPr>
        <w:tc>
          <w:tcPr>
            <w:tcW w:w="649" w:type="dxa"/>
            <w:vAlign w:val="center"/>
          </w:tcPr>
          <w:p w14:paraId="00980482">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序号</w:t>
            </w:r>
          </w:p>
        </w:tc>
        <w:tc>
          <w:tcPr>
            <w:tcW w:w="1552" w:type="dxa"/>
            <w:vAlign w:val="center"/>
          </w:tcPr>
          <w:p w14:paraId="7D8F1766">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合格条件</w:t>
            </w:r>
          </w:p>
        </w:tc>
        <w:tc>
          <w:tcPr>
            <w:tcW w:w="2370" w:type="dxa"/>
            <w:vAlign w:val="center"/>
          </w:tcPr>
          <w:p w14:paraId="3F93EC42">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投标资格合格条件标准</w:t>
            </w:r>
          </w:p>
        </w:tc>
        <w:tc>
          <w:tcPr>
            <w:tcW w:w="2666" w:type="dxa"/>
            <w:vAlign w:val="center"/>
          </w:tcPr>
          <w:p w14:paraId="0BCAB89D">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有效证明材料</w:t>
            </w:r>
          </w:p>
        </w:tc>
        <w:tc>
          <w:tcPr>
            <w:tcW w:w="2649" w:type="dxa"/>
            <w:vAlign w:val="center"/>
          </w:tcPr>
          <w:p w14:paraId="38FAA251">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定性的结论以及相关情况说明</w:t>
            </w:r>
          </w:p>
        </w:tc>
      </w:tr>
      <w:tr w14:paraId="5C34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atLeast"/>
          <w:tblCellSpacing w:w="0" w:type="dxa"/>
          <w:jc w:val="center"/>
        </w:trPr>
        <w:tc>
          <w:tcPr>
            <w:tcW w:w="649" w:type="dxa"/>
            <w:shd w:val="clear" w:color="auto" w:fill="auto"/>
            <w:vAlign w:val="center"/>
          </w:tcPr>
          <w:p w14:paraId="4B7C602E">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1</w:t>
            </w:r>
          </w:p>
        </w:tc>
        <w:tc>
          <w:tcPr>
            <w:tcW w:w="1552" w:type="dxa"/>
            <w:vAlign w:val="center"/>
          </w:tcPr>
          <w:p w14:paraId="42273088">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投标保证金</w:t>
            </w:r>
          </w:p>
        </w:tc>
        <w:tc>
          <w:tcPr>
            <w:tcW w:w="2370" w:type="dxa"/>
            <w:vAlign w:val="center"/>
          </w:tcPr>
          <w:p w14:paraId="2448DB4E">
            <w:pPr>
              <w:widowControl/>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对照招标文件的要求查询保证金缴纳形式、缴入账号、时间、金额是否符合要求</w:t>
            </w:r>
          </w:p>
        </w:tc>
        <w:tc>
          <w:tcPr>
            <w:tcW w:w="2666" w:type="dxa"/>
            <w:vAlign w:val="center"/>
          </w:tcPr>
          <w:p w14:paraId="46EF3816">
            <w:pPr>
              <w:widowControl/>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保证金缴纳情况表</w:t>
            </w:r>
          </w:p>
        </w:tc>
        <w:tc>
          <w:tcPr>
            <w:tcW w:w="2649" w:type="dxa"/>
            <w:vAlign w:val="center"/>
          </w:tcPr>
          <w:p w14:paraId="67DFF367">
            <w:pPr>
              <w:pStyle w:val="57"/>
              <w:numPr>
                <w:ilvl w:val="0"/>
                <w:numId w:val="0"/>
              </w:numP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1、投标保证金采用现金形式提交的，应当从投标人基本账户汇达至本项目招标公告指定的账号；</w:t>
            </w:r>
          </w:p>
          <w:p w14:paraId="677B774D">
            <w:pPr>
              <w:pStyle w:val="57"/>
              <w:numPr>
                <w:ilvl w:val="0"/>
                <w:numId w:val="0"/>
              </w:numP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bidi="ar-SA"/>
              </w:rPr>
              <w:t>2、采用保函、保证保险等方式缴纳的，将缴纳复印件或扫描件加盖公章放入投标文件中。</w:t>
            </w:r>
          </w:p>
        </w:tc>
      </w:tr>
      <w:tr w14:paraId="6E62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atLeast"/>
          <w:tblCellSpacing w:w="0" w:type="dxa"/>
          <w:jc w:val="center"/>
        </w:trPr>
        <w:tc>
          <w:tcPr>
            <w:tcW w:w="649" w:type="dxa"/>
            <w:shd w:val="clear" w:color="auto" w:fill="auto"/>
            <w:vAlign w:val="center"/>
          </w:tcPr>
          <w:p w14:paraId="5A60785B">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2</w:t>
            </w:r>
          </w:p>
        </w:tc>
        <w:tc>
          <w:tcPr>
            <w:tcW w:w="1552" w:type="dxa"/>
            <w:vAlign w:val="center"/>
          </w:tcPr>
          <w:p w14:paraId="1BBB8EAA">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营业执照</w:t>
            </w:r>
          </w:p>
        </w:tc>
        <w:tc>
          <w:tcPr>
            <w:tcW w:w="2370" w:type="dxa"/>
            <w:vAlign w:val="center"/>
          </w:tcPr>
          <w:p w14:paraId="34B00C9E">
            <w:pPr>
              <w:widowControl/>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具有有效的营业执照</w:t>
            </w:r>
          </w:p>
        </w:tc>
        <w:tc>
          <w:tcPr>
            <w:tcW w:w="2666" w:type="dxa"/>
            <w:vAlign w:val="center"/>
          </w:tcPr>
          <w:p w14:paraId="4CAE3FF1">
            <w:pPr>
              <w:widowControl/>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企业法人营业执照（副本）</w:t>
            </w:r>
          </w:p>
        </w:tc>
        <w:tc>
          <w:tcPr>
            <w:tcW w:w="2649" w:type="dxa"/>
            <w:vMerge w:val="restart"/>
            <w:vAlign w:val="center"/>
          </w:tcPr>
          <w:p w14:paraId="1D48921A">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扫描件（包含复印件或影印件）加盖投标单位公章装订在投标文件内。</w:t>
            </w:r>
          </w:p>
        </w:tc>
      </w:tr>
      <w:tr w14:paraId="55C2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8" w:hRule="atLeast"/>
          <w:tblCellSpacing w:w="0" w:type="dxa"/>
          <w:jc w:val="center"/>
        </w:trPr>
        <w:tc>
          <w:tcPr>
            <w:tcW w:w="649" w:type="dxa"/>
            <w:shd w:val="clear" w:color="auto" w:fill="auto"/>
            <w:vAlign w:val="center"/>
          </w:tcPr>
          <w:p w14:paraId="0EA8B929">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3</w:t>
            </w:r>
          </w:p>
        </w:tc>
        <w:tc>
          <w:tcPr>
            <w:tcW w:w="1552" w:type="dxa"/>
            <w:vAlign w:val="center"/>
          </w:tcPr>
          <w:p w14:paraId="5DAD6CC9">
            <w:pPr>
              <w:widowControl/>
              <w:ind w:left="53" w:leftChars="25" w:right="53" w:rightChars="25"/>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企业资质证书</w:t>
            </w:r>
          </w:p>
        </w:tc>
        <w:tc>
          <w:tcPr>
            <w:tcW w:w="2370" w:type="dxa"/>
            <w:vAlign w:val="center"/>
          </w:tcPr>
          <w:p w14:paraId="1F2C8545">
            <w:pPr>
              <w:widowControl/>
              <w:ind w:left="53" w:leftChars="25" w:right="53" w:rightChars="25"/>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具备招标公告规定的资质</w:t>
            </w:r>
          </w:p>
        </w:tc>
        <w:tc>
          <w:tcPr>
            <w:tcW w:w="2666" w:type="dxa"/>
            <w:vAlign w:val="center"/>
          </w:tcPr>
          <w:p w14:paraId="034E4F94">
            <w:pPr>
              <w:widowControl/>
              <w:ind w:left="53" w:leftChars="25" w:right="53" w:rightChars="25"/>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有效的企业资质等级证书（副本）</w:t>
            </w:r>
          </w:p>
        </w:tc>
        <w:tc>
          <w:tcPr>
            <w:tcW w:w="2649" w:type="dxa"/>
            <w:vMerge w:val="continue"/>
            <w:vAlign w:val="center"/>
          </w:tcPr>
          <w:p w14:paraId="4C282E42">
            <w:pPr>
              <w:rPr>
                <w:rFonts w:hint="eastAsia" w:ascii="仿宋" w:hAnsi="仿宋" w:eastAsia="仿宋" w:cs="仿宋"/>
                <w:color w:val="auto"/>
                <w:kern w:val="0"/>
                <w:sz w:val="24"/>
                <w:szCs w:val="24"/>
                <w:highlight w:val="none"/>
              </w:rPr>
            </w:pPr>
          </w:p>
        </w:tc>
      </w:tr>
      <w:tr w14:paraId="696B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0" w:hRule="atLeast"/>
          <w:tblCellSpacing w:w="0" w:type="dxa"/>
          <w:jc w:val="center"/>
        </w:trPr>
        <w:tc>
          <w:tcPr>
            <w:tcW w:w="649" w:type="dxa"/>
            <w:shd w:val="clear" w:color="auto" w:fill="auto"/>
            <w:vAlign w:val="center"/>
          </w:tcPr>
          <w:p w14:paraId="51D03801">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4</w:t>
            </w:r>
          </w:p>
        </w:tc>
        <w:tc>
          <w:tcPr>
            <w:tcW w:w="1552" w:type="dxa"/>
            <w:shd w:val="clear" w:color="auto" w:fill="auto"/>
            <w:vAlign w:val="center"/>
          </w:tcPr>
          <w:p w14:paraId="2068C7EC">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拟派项目总监理工程师资格</w:t>
            </w:r>
          </w:p>
        </w:tc>
        <w:tc>
          <w:tcPr>
            <w:tcW w:w="2370" w:type="dxa"/>
            <w:shd w:val="clear" w:color="auto" w:fill="auto"/>
            <w:vAlign w:val="center"/>
          </w:tcPr>
          <w:p w14:paraId="3AB079A1">
            <w:pPr>
              <w:widowControl/>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具备招标公告</w:t>
            </w:r>
            <w:r>
              <w:rPr>
                <w:rFonts w:hint="eastAsia" w:ascii="仿宋" w:hAnsi="仿宋" w:eastAsia="仿宋" w:cs="仿宋"/>
                <w:color w:val="auto"/>
                <w:kern w:val="0"/>
                <w:sz w:val="24"/>
                <w:szCs w:val="24"/>
                <w:highlight w:val="none"/>
                <w:lang w:val="en-US" w:eastAsia="zh-CN"/>
              </w:rPr>
              <w:t>及《人员清单表》</w:t>
            </w:r>
            <w:r>
              <w:rPr>
                <w:rFonts w:hint="eastAsia" w:ascii="仿宋" w:hAnsi="仿宋" w:eastAsia="仿宋" w:cs="仿宋"/>
                <w:color w:val="auto"/>
                <w:kern w:val="0"/>
                <w:sz w:val="24"/>
                <w:szCs w:val="24"/>
                <w:highlight w:val="none"/>
              </w:rPr>
              <w:t>规定的资格</w:t>
            </w:r>
          </w:p>
        </w:tc>
        <w:tc>
          <w:tcPr>
            <w:tcW w:w="2666" w:type="dxa"/>
            <w:shd w:val="clear" w:color="auto" w:fill="auto"/>
            <w:vAlign w:val="center"/>
          </w:tcPr>
          <w:p w14:paraId="5AE4865E">
            <w:pPr>
              <w:widowControl/>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有效的注册执业证书</w:t>
            </w:r>
            <w:r>
              <w:rPr>
                <w:rFonts w:hint="eastAsia" w:ascii="仿宋" w:hAnsi="仿宋" w:eastAsia="仿宋" w:cs="仿宋"/>
                <w:color w:val="auto"/>
                <w:kern w:val="0"/>
                <w:sz w:val="24"/>
                <w:szCs w:val="24"/>
                <w:highlight w:val="none"/>
                <w:lang w:val="en-US" w:eastAsia="zh-CN"/>
              </w:rPr>
              <w:t>、开标前半年内在投标人企业连续三个月的社保缴纳证明</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或退休证明材料及劳务合同</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w:t>
            </w:r>
          </w:p>
        </w:tc>
        <w:tc>
          <w:tcPr>
            <w:tcW w:w="2649" w:type="dxa"/>
            <w:vMerge w:val="continue"/>
            <w:vAlign w:val="center"/>
          </w:tcPr>
          <w:p w14:paraId="305C269C">
            <w:pPr>
              <w:widowControl/>
              <w:jc w:val="center"/>
              <w:rPr>
                <w:rFonts w:hint="eastAsia" w:ascii="仿宋" w:hAnsi="仿宋" w:eastAsia="仿宋" w:cs="仿宋"/>
                <w:color w:val="auto"/>
                <w:kern w:val="0"/>
                <w:sz w:val="24"/>
                <w:szCs w:val="24"/>
                <w:highlight w:val="none"/>
              </w:rPr>
            </w:pPr>
          </w:p>
        </w:tc>
      </w:tr>
      <w:tr w14:paraId="3B93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0" w:hRule="atLeast"/>
          <w:tblCellSpacing w:w="0" w:type="dxa"/>
          <w:jc w:val="center"/>
        </w:trPr>
        <w:tc>
          <w:tcPr>
            <w:tcW w:w="649" w:type="dxa"/>
            <w:shd w:val="clear" w:color="auto" w:fill="auto"/>
            <w:vAlign w:val="center"/>
          </w:tcPr>
          <w:p w14:paraId="32A6455E">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5</w:t>
            </w:r>
          </w:p>
        </w:tc>
        <w:tc>
          <w:tcPr>
            <w:tcW w:w="1552" w:type="dxa"/>
            <w:vAlign w:val="center"/>
          </w:tcPr>
          <w:p w14:paraId="75038FA9">
            <w:pPr>
              <w:widowControl/>
              <w:adjustRightInd w:val="0"/>
              <w:snapToGrid w:val="0"/>
              <w:spacing w:line="30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拟派监理</w:t>
            </w:r>
            <w:r>
              <w:rPr>
                <w:rFonts w:hint="eastAsia" w:ascii="仿宋" w:hAnsi="仿宋" w:eastAsia="仿宋" w:cs="仿宋"/>
                <w:color w:val="auto"/>
                <w:kern w:val="0"/>
                <w:sz w:val="24"/>
                <w:szCs w:val="24"/>
                <w:highlight w:val="none"/>
                <w:lang w:val="en-US" w:eastAsia="zh-CN"/>
              </w:rPr>
              <w:t>机构人员</w:t>
            </w:r>
            <w:r>
              <w:rPr>
                <w:rFonts w:hint="eastAsia" w:ascii="仿宋" w:hAnsi="仿宋" w:eastAsia="仿宋" w:cs="仿宋"/>
                <w:color w:val="auto"/>
                <w:kern w:val="0"/>
                <w:sz w:val="24"/>
                <w:szCs w:val="24"/>
                <w:highlight w:val="none"/>
              </w:rPr>
              <w:t>要求</w:t>
            </w:r>
          </w:p>
        </w:tc>
        <w:tc>
          <w:tcPr>
            <w:tcW w:w="2370" w:type="dxa"/>
            <w:vAlign w:val="center"/>
          </w:tcPr>
          <w:p w14:paraId="1E355F97">
            <w:pPr>
              <w:widowControl/>
              <w:adjustRightInd w:val="0"/>
              <w:snapToGrid w:val="0"/>
              <w:spacing w:line="30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拟组建的项目监理机构须满足本工程监理机构人员最低人数要求，专业人员配备齐全完全满足招标文件的资质、专业、岗位及最低人数要求。</w:t>
            </w:r>
          </w:p>
        </w:tc>
        <w:tc>
          <w:tcPr>
            <w:tcW w:w="2666" w:type="dxa"/>
            <w:vAlign w:val="center"/>
          </w:tcPr>
          <w:p w14:paraId="32E4B121">
            <w:pPr>
              <w:adjustRightInd w:val="0"/>
              <w:snapToGrid w:val="0"/>
              <w:spacing w:line="300" w:lineRule="exact"/>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投标人应提供以下证明材料：</w:t>
            </w:r>
          </w:p>
          <w:p w14:paraId="6E8026F0">
            <w:pPr>
              <w:adjustRightInd w:val="0"/>
              <w:snapToGrid w:val="0"/>
              <w:spacing w:line="300" w:lineRule="exact"/>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拟组建的项目</w:t>
            </w:r>
            <w:r>
              <w:rPr>
                <w:rFonts w:hint="eastAsia" w:ascii="仿宋" w:hAnsi="仿宋" w:eastAsia="仿宋" w:cs="仿宋"/>
                <w:color w:val="auto"/>
                <w:kern w:val="0"/>
                <w:sz w:val="24"/>
                <w:szCs w:val="24"/>
                <w:highlight w:val="none"/>
                <w:lang w:val="en-US" w:eastAsia="zh-CN"/>
              </w:rPr>
              <w:t>监理人员的</w:t>
            </w:r>
            <w:r>
              <w:rPr>
                <w:rFonts w:hint="eastAsia" w:ascii="仿宋" w:hAnsi="仿宋" w:eastAsia="仿宋" w:cs="仿宋"/>
                <w:b/>
                <w:bCs/>
                <w:color w:val="auto"/>
                <w:sz w:val="24"/>
                <w:szCs w:val="24"/>
                <w:highlight w:val="none"/>
              </w:rPr>
              <w:t>《人员清单表》</w:t>
            </w:r>
            <w:r>
              <w:rPr>
                <w:rFonts w:hint="eastAsia" w:ascii="仿宋" w:hAnsi="仿宋" w:eastAsia="仿宋" w:cs="仿宋"/>
                <w:color w:val="auto"/>
                <w:kern w:val="0"/>
                <w:sz w:val="24"/>
                <w:szCs w:val="24"/>
                <w:highlight w:val="none"/>
              </w:rPr>
              <w:t>，</w:t>
            </w:r>
            <w:r>
              <w:rPr>
                <w:rFonts w:hint="eastAsia" w:ascii="仿宋" w:hAnsi="仿宋" w:eastAsia="仿宋" w:cs="仿宋"/>
                <w:b/>
                <w:color w:val="auto"/>
                <w:kern w:val="0"/>
                <w:sz w:val="24"/>
                <w:szCs w:val="24"/>
                <w:highlight w:val="none"/>
              </w:rPr>
              <w:t>未满足本工程监理机构人员配备最低要求（详见后附表）的或未按</w:t>
            </w:r>
            <w:r>
              <w:rPr>
                <w:rFonts w:hint="eastAsia" w:ascii="仿宋" w:hAnsi="仿宋" w:eastAsia="仿宋" w:cs="仿宋"/>
                <w:b/>
                <w:bCs/>
                <w:color w:val="auto"/>
                <w:sz w:val="24"/>
                <w:szCs w:val="24"/>
                <w:highlight w:val="none"/>
              </w:rPr>
              <w:t>《人员清单表》</w:t>
            </w:r>
            <w:r>
              <w:rPr>
                <w:rFonts w:hint="eastAsia" w:ascii="仿宋" w:hAnsi="仿宋" w:eastAsia="仿宋" w:cs="仿宋"/>
                <w:b/>
                <w:color w:val="auto"/>
                <w:kern w:val="0"/>
                <w:sz w:val="24"/>
                <w:szCs w:val="24"/>
                <w:highlight w:val="none"/>
              </w:rPr>
              <w:t>要求提供证明材料的作废标处理。</w:t>
            </w:r>
          </w:p>
        </w:tc>
        <w:tc>
          <w:tcPr>
            <w:tcW w:w="2649" w:type="dxa"/>
            <w:vAlign w:val="center"/>
          </w:tcPr>
          <w:p w14:paraId="75FA9A3A">
            <w:pPr>
              <w:widowControl/>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①</w:t>
            </w:r>
            <w:r>
              <w:rPr>
                <w:rFonts w:hint="eastAsia" w:ascii="仿宋" w:hAnsi="仿宋" w:eastAsia="仿宋" w:cs="仿宋"/>
                <w:b/>
                <w:bCs/>
                <w:color w:val="auto"/>
                <w:sz w:val="24"/>
                <w:szCs w:val="24"/>
                <w:highlight w:val="none"/>
              </w:rPr>
              <w:t>《人员清单表》</w:t>
            </w:r>
            <w:r>
              <w:rPr>
                <w:rFonts w:hint="eastAsia" w:ascii="仿宋" w:hAnsi="仿宋" w:eastAsia="仿宋" w:cs="仿宋"/>
                <w:color w:val="auto"/>
                <w:kern w:val="0"/>
                <w:sz w:val="24"/>
                <w:szCs w:val="24"/>
                <w:highlight w:val="none"/>
              </w:rPr>
              <w:t>中的所有人员即为投标人为本项目拟组建的项目监理机构的全部人员，包含了投标人为满足本招标文件中“工程监理机构人员最低人数要求”的全部拟派监理人员，和投标人为获得下文“评分细则”中相关评分分值而提供的全部监理人员；</w:t>
            </w:r>
          </w:p>
          <w:p w14:paraId="6EC51DD8">
            <w:pPr>
              <w:pStyle w:val="2"/>
              <w:ind w:firstLine="0" w:firstLineChars="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②</w:t>
            </w:r>
            <w:r>
              <w:rPr>
                <w:rFonts w:hint="eastAsia" w:ascii="仿宋" w:hAnsi="仿宋" w:eastAsia="仿宋" w:cs="仿宋"/>
                <w:b/>
                <w:bCs/>
                <w:color w:val="auto"/>
                <w:sz w:val="24"/>
                <w:szCs w:val="24"/>
                <w:highlight w:val="none"/>
              </w:rPr>
              <w:t>《人员清单表》</w:t>
            </w:r>
            <w:r>
              <w:rPr>
                <w:rFonts w:hint="eastAsia" w:ascii="仿宋" w:hAnsi="仿宋" w:eastAsia="仿宋" w:cs="仿宋"/>
                <w:bCs/>
                <w:color w:val="auto"/>
                <w:sz w:val="24"/>
                <w:szCs w:val="24"/>
                <w:highlight w:val="none"/>
              </w:rPr>
              <w:t>及相应资格证明材料</w:t>
            </w:r>
            <w:r>
              <w:rPr>
                <w:rFonts w:hint="eastAsia" w:ascii="仿宋" w:hAnsi="仿宋" w:eastAsia="仿宋" w:cs="仿宋"/>
                <w:color w:val="auto"/>
                <w:sz w:val="24"/>
                <w:szCs w:val="24"/>
                <w:highlight w:val="none"/>
              </w:rPr>
              <w:t>加盖投标单位公章的扫描件装订投标文件内，否则作废标处理</w:t>
            </w:r>
            <w:r>
              <w:rPr>
                <w:rFonts w:hint="eastAsia" w:ascii="仿宋" w:hAnsi="仿宋" w:eastAsia="仿宋" w:cs="仿宋"/>
                <w:color w:val="auto"/>
                <w:kern w:val="0"/>
                <w:sz w:val="24"/>
                <w:szCs w:val="24"/>
                <w:highlight w:val="none"/>
              </w:rPr>
              <w:t>。</w:t>
            </w:r>
          </w:p>
        </w:tc>
      </w:tr>
      <w:tr w14:paraId="1A69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CellSpacing w:w="0" w:type="dxa"/>
          <w:jc w:val="center"/>
        </w:trPr>
        <w:tc>
          <w:tcPr>
            <w:tcW w:w="649" w:type="dxa"/>
            <w:shd w:val="clear" w:color="auto" w:fill="auto"/>
            <w:vAlign w:val="center"/>
          </w:tcPr>
          <w:p w14:paraId="524A87A0">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6</w:t>
            </w:r>
          </w:p>
        </w:tc>
        <w:tc>
          <w:tcPr>
            <w:tcW w:w="1552" w:type="dxa"/>
            <w:vAlign w:val="center"/>
          </w:tcPr>
          <w:p w14:paraId="737B2FEC">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相关</w:t>
            </w:r>
            <w:r>
              <w:rPr>
                <w:rFonts w:hint="eastAsia" w:ascii="仿宋" w:hAnsi="仿宋" w:eastAsia="仿宋" w:cs="仿宋"/>
                <w:color w:val="auto"/>
                <w:kern w:val="0"/>
                <w:sz w:val="24"/>
                <w:szCs w:val="24"/>
                <w:highlight w:val="none"/>
              </w:rPr>
              <w:t>承诺</w:t>
            </w:r>
          </w:p>
        </w:tc>
        <w:tc>
          <w:tcPr>
            <w:tcW w:w="2370" w:type="dxa"/>
            <w:vAlign w:val="center"/>
          </w:tcPr>
          <w:p w14:paraId="1C39D264">
            <w:pPr>
              <w:widowControl/>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按格式要求填写、签章</w:t>
            </w:r>
          </w:p>
        </w:tc>
        <w:tc>
          <w:tcPr>
            <w:tcW w:w="2666" w:type="dxa"/>
            <w:vAlign w:val="center"/>
          </w:tcPr>
          <w:p w14:paraId="2D57CE4E">
            <w:pPr>
              <w:widowControl/>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由法定代表人签署并加盖公章的承诺书</w:t>
            </w:r>
          </w:p>
        </w:tc>
        <w:tc>
          <w:tcPr>
            <w:tcW w:w="2649" w:type="dxa"/>
            <w:vAlign w:val="center"/>
          </w:tcPr>
          <w:p w14:paraId="5A5410A6">
            <w:pPr>
              <w:widowControl/>
              <w:ind w:right="53" w:rightChars="25"/>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无被限制投标承诺函、总监理工程师现场到位率的承诺、拟派总监理工程师不得有异地在监项目的承诺、</w:t>
            </w:r>
            <w:r>
              <w:rPr>
                <w:rFonts w:hint="eastAsia" w:ascii="仿宋" w:hAnsi="仿宋" w:eastAsia="仿宋" w:cs="仿宋"/>
                <w:b/>
                <w:bCs/>
                <w:color w:val="auto"/>
                <w:kern w:val="0"/>
                <w:sz w:val="24"/>
                <w:szCs w:val="24"/>
                <w:highlight w:val="none"/>
                <w:lang w:val="en-US" w:eastAsia="zh-CN"/>
              </w:rPr>
              <w:t>诚信承诺书</w:t>
            </w:r>
          </w:p>
        </w:tc>
      </w:tr>
      <w:tr w14:paraId="4E6B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CellSpacing w:w="0" w:type="dxa"/>
          <w:jc w:val="center"/>
        </w:trPr>
        <w:tc>
          <w:tcPr>
            <w:tcW w:w="649" w:type="dxa"/>
            <w:shd w:val="clear" w:color="auto" w:fill="auto"/>
            <w:vAlign w:val="center"/>
          </w:tcPr>
          <w:p w14:paraId="5BD31D26">
            <w:pPr>
              <w:widowControl/>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7</w:t>
            </w:r>
          </w:p>
        </w:tc>
        <w:tc>
          <w:tcPr>
            <w:tcW w:w="1552" w:type="dxa"/>
            <w:vAlign w:val="center"/>
          </w:tcPr>
          <w:p w14:paraId="65E81C98">
            <w:pPr>
              <w:widowControl/>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授权委托书、法定代表人身份证明书</w:t>
            </w:r>
          </w:p>
        </w:tc>
        <w:tc>
          <w:tcPr>
            <w:tcW w:w="2370" w:type="dxa"/>
            <w:vAlign w:val="center"/>
          </w:tcPr>
          <w:p w14:paraId="78CA9C10">
            <w:pPr>
              <w:widowControl/>
              <w:spacing w:line="32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非法定代表人的，提供授权委托书；法人到场的，无需授权委托书。</w:t>
            </w:r>
          </w:p>
        </w:tc>
        <w:tc>
          <w:tcPr>
            <w:tcW w:w="2666" w:type="dxa"/>
            <w:vAlign w:val="center"/>
          </w:tcPr>
          <w:p w14:paraId="3F734F0F">
            <w:pPr>
              <w:widowControl/>
              <w:spacing w:line="32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提供授权委托书及法定代表人身份证明书按给定格式要求填写、签署</w:t>
            </w:r>
          </w:p>
        </w:tc>
        <w:tc>
          <w:tcPr>
            <w:tcW w:w="2649" w:type="dxa"/>
            <w:vAlign w:val="center"/>
          </w:tcPr>
          <w:p w14:paraId="1F13C9D8">
            <w:pPr>
              <w:widowControl/>
              <w:ind w:right="53" w:rightChars="25"/>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①授权委托书及法定代表人身份证明书加盖投标单位公章装订在投标文件内，否则作废标处理；</w:t>
            </w:r>
          </w:p>
          <w:p w14:paraId="079AA4A6">
            <w:pPr>
              <w:widowControl/>
              <w:ind w:right="53" w:rightChars="25"/>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②被授权人身份证及法定代表人身份证扫描件（复印件）加盖投标单位公章装订在投标文件内，否则作废标处理。</w:t>
            </w:r>
          </w:p>
        </w:tc>
      </w:tr>
    </w:tbl>
    <w:p w14:paraId="15F05F9B">
      <w:pPr>
        <w:pStyle w:val="53"/>
        <w:keepNext w:val="0"/>
        <w:keepLines w:val="0"/>
        <w:pageBreakBefore w:val="0"/>
        <w:widowControl/>
        <w:kinsoku/>
        <w:wordWrap/>
        <w:overflowPunct/>
        <w:topLinePunct w:val="0"/>
        <w:autoSpaceDE/>
        <w:autoSpaceDN/>
        <w:bidi w:val="0"/>
        <w:adjustRightInd/>
        <w:snapToGrid/>
        <w:spacing w:line="500" w:lineRule="exact"/>
        <w:ind w:firstLine="482" w:firstLineChars="200"/>
        <w:jc w:val="both"/>
        <w:textAlignment w:val="auto"/>
        <w:rPr>
          <w:rFonts w:ascii="宋体" w:hAnsi="宋体" w:cs="仿宋_GB2312"/>
          <w:color w:val="auto"/>
          <w:sz w:val="24"/>
          <w:szCs w:val="24"/>
          <w:highlight w:val="none"/>
        </w:rPr>
      </w:pPr>
      <w:r>
        <w:rPr>
          <w:rFonts w:hint="eastAsia" w:ascii="宋体" w:hAnsi="宋体" w:cs="仿宋"/>
          <w:b/>
          <w:bCs/>
          <w:color w:val="auto"/>
          <w:sz w:val="24"/>
          <w:szCs w:val="24"/>
          <w:highlight w:val="none"/>
        </w:rPr>
        <w:t>注：</w:t>
      </w:r>
      <w:r>
        <w:rPr>
          <w:rFonts w:hint="eastAsia" w:ascii="宋体" w:hAnsi="宋体" w:cs="仿宋_GB2312"/>
          <w:color w:val="auto"/>
          <w:sz w:val="24"/>
          <w:szCs w:val="24"/>
          <w:highlight w:val="none"/>
        </w:rPr>
        <w:t>（1）以上各项中有一项不符合即为不合格。第</w:t>
      </w:r>
      <w:r>
        <w:rPr>
          <w:rFonts w:hint="eastAsia" w:ascii="宋体" w:hAnsi="宋体" w:cs="仿宋_GB2312"/>
          <w:color w:val="auto"/>
          <w:sz w:val="24"/>
          <w:szCs w:val="24"/>
          <w:highlight w:val="none"/>
          <w:lang w:val="en-US" w:eastAsia="zh-CN"/>
        </w:rPr>
        <w:t>7</w:t>
      </w:r>
      <w:r>
        <w:rPr>
          <w:rFonts w:hint="eastAsia" w:ascii="宋体" w:hAnsi="宋体" w:cs="仿宋_GB2312"/>
          <w:color w:val="auto"/>
          <w:sz w:val="24"/>
          <w:szCs w:val="24"/>
          <w:highlight w:val="none"/>
        </w:rPr>
        <w:t>项中的授权委托书及法定代表人身份证明书必须提供，身份证扫描件或复印件不作为废标条件，仅用作判定其澄清或异议效力的依据。</w:t>
      </w:r>
    </w:p>
    <w:p w14:paraId="4C03DF59">
      <w:pPr>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（2）各类资质证明、营业执照、企业及项目监理团队人员的资质等级证书等均不要求投标人提供原件。</w:t>
      </w:r>
    </w:p>
    <w:p w14:paraId="7D456181">
      <w:pPr>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（3）资格审查未通过的投标文件将不得进入技术标及商务标的评审。</w:t>
      </w:r>
    </w:p>
    <w:p w14:paraId="3A69CF44">
      <w:pPr>
        <w:keepNext w:val="0"/>
        <w:keepLines w:val="0"/>
        <w:pageBreakBefore w:val="0"/>
        <w:widowControl/>
        <w:kinsoku/>
        <w:wordWrap/>
        <w:overflowPunct/>
        <w:topLinePunct w:val="0"/>
        <w:autoSpaceDE/>
        <w:autoSpaceDN/>
        <w:bidi w:val="0"/>
        <w:adjustRightInd/>
        <w:snapToGrid/>
        <w:spacing w:line="500" w:lineRule="exact"/>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四、投标文件技术标及商务标评审</w:t>
      </w:r>
      <w:r>
        <w:rPr>
          <w:rFonts w:hint="eastAsia" w:ascii="宋体" w:hAnsi="宋体" w:cs="宋体"/>
          <w:b/>
          <w:color w:val="auto"/>
          <w:sz w:val="24"/>
          <w:szCs w:val="24"/>
          <w:highlight w:val="none"/>
        </w:rPr>
        <w:tab/>
      </w:r>
    </w:p>
    <w:p w14:paraId="5737E845">
      <w:pPr>
        <w:pStyle w:val="53"/>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本项目采用综合评估法，即评标的基本分为100分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具体评分标准如下：</w:t>
      </w:r>
    </w:p>
    <w:tbl>
      <w:tblPr>
        <w:tblStyle w:val="25"/>
        <w:tblW w:w="986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7" w:type="dxa"/>
          <w:left w:w="74" w:type="dxa"/>
          <w:bottom w:w="17" w:type="dxa"/>
          <w:right w:w="74" w:type="dxa"/>
        </w:tblCellMar>
      </w:tblPr>
      <w:tblGrid>
        <w:gridCol w:w="1050"/>
        <w:gridCol w:w="4273"/>
        <w:gridCol w:w="4538"/>
      </w:tblGrid>
      <w:tr w14:paraId="1C1C3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433" w:hRule="atLeast"/>
          <w:jc w:val="center"/>
        </w:trPr>
        <w:tc>
          <w:tcPr>
            <w:tcW w:w="1050" w:type="dxa"/>
            <w:shd w:val="clear" w:color="auto" w:fill="auto"/>
            <w:vAlign w:val="center"/>
          </w:tcPr>
          <w:p w14:paraId="7507AB23">
            <w:pPr>
              <w:widowControl/>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评分项目</w:t>
            </w:r>
          </w:p>
        </w:tc>
        <w:tc>
          <w:tcPr>
            <w:tcW w:w="4273" w:type="dxa"/>
            <w:shd w:val="clear" w:color="auto" w:fill="auto"/>
            <w:vAlign w:val="center"/>
          </w:tcPr>
          <w:p w14:paraId="0426FDDF">
            <w:pPr>
              <w:widowControl/>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评审内容及分值</w:t>
            </w:r>
          </w:p>
        </w:tc>
        <w:tc>
          <w:tcPr>
            <w:tcW w:w="4538" w:type="dxa"/>
            <w:shd w:val="clear" w:color="auto" w:fill="auto"/>
            <w:tcMar>
              <w:top w:w="0" w:type="dxa"/>
              <w:left w:w="108" w:type="dxa"/>
              <w:bottom w:w="0" w:type="dxa"/>
              <w:right w:w="108" w:type="dxa"/>
            </w:tcMar>
            <w:vAlign w:val="center"/>
          </w:tcPr>
          <w:p w14:paraId="601FFBB8">
            <w:pPr>
              <w:widowControl/>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评分方法</w:t>
            </w:r>
          </w:p>
        </w:tc>
      </w:tr>
      <w:tr w14:paraId="22CA6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422" w:hRule="atLeast"/>
          <w:jc w:val="center"/>
        </w:trPr>
        <w:tc>
          <w:tcPr>
            <w:tcW w:w="1050" w:type="dxa"/>
            <w:vMerge w:val="restart"/>
            <w:shd w:val="clear" w:color="auto" w:fill="auto"/>
            <w:vAlign w:val="center"/>
          </w:tcPr>
          <w:p w14:paraId="494B205F">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监理大纲（满分</w:t>
            </w:r>
            <w:r>
              <w:rPr>
                <w:rFonts w:hint="eastAsia" w:ascii="仿宋" w:hAnsi="仿宋" w:eastAsia="仿宋" w:cs="仿宋"/>
                <w:color w:val="auto"/>
                <w:kern w:val="0"/>
                <w:sz w:val="24"/>
                <w:szCs w:val="24"/>
                <w:highlight w:val="none"/>
                <w:lang w:val="en-US" w:eastAsia="zh-CN"/>
              </w:rPr>
              <w:t>35</w:t>
            </w:r>
            <w:r>
              <w:rPr>
                <w:rFonts w:hint="eastAsia" w:ascii="仿宋" w:hAnsi="仿宋" w:eastAsia="仿宋" w:cs="仿宋"/>
                <w:color w:val="auto"/>
                <w:kern w:val="0"/>
                <w:sz w:val="24"/>
                <w:szCs w:val="24"/>
                <w:highlight w:val="none"/>
              </w:rPr>
              <w:t>分）</w:t>
            </w:r>
          </w:p>
        </w:tc>
        <w:tc>
          <w:tcPr>
            <w:tcW w:w="4273" w:type="dxa"/>
            <w:shd w:val="clear" w:color="auto" w:fill="auto"/>
            <w:vAlign w:val="top"/>
          </w:tcPr>
          <w:p w14:paraId="3481969E">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（1）监理大纲内容齐全且符合现行规范要求。评委据此酌情打分，内容齐全完整得4.1-5.0分，内容较齐全完整得3. 1-4.0分，一般得0.1-3.0分，不提供不得分。</w:t>
            </w:r>
          </w:p>
        </w:tc>
        <w:tc>
          <w:tcPr>
            <w:tcW w:w="4538" w:type="dxa"/>
            <w:vMerge w:val="restart"/>
            <w:shd w:val="clear" w:color="auto" w:fill="auto"/>
            <w:tcMar>
              <w:top w:w="0" w:type="dxa"/>
              <w:left w:w="108" w:type="dxa"/>
              <w:bottom w:w="0" w:type="dxa"/>
              <w:right w:w="108" w:type="dxa"/>
            </w:tcMar>
            <w:vAlign w:val="center"/>
          </w:tcPr>
          <w:p w14:paraId="74DC9421">
            <w:pPr>
              <w:widowControl/>
              <w:adjustRightInd w:val="0"/>
              <w:snapToGrid w:val="0"/>
              <w:spacing w:line="300" w:lineRule="exact"/>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①评标委员会成员按照每项评审内容，单独评审打分。</w:t>
            </w:r>
          </w:p>
          <w:p w14:paraId="42D75ADA">
            <w:pPr>
              <w:widowControl/>
              <w:adjustRightInd w:val="0"/>
              <w:snapToGrid w:val="0"/>
              <w:spacing w:line="300" w:lineRule="exact"/>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②投标人监理大纲的最后得分计算方法为：取所有评委评分的算术平均值为投标人监理大纲的最终得分，小数点后四舍五入保留两位小数。</w:t>
            </w:r>
          </w:p>
          <w:p w14:paraId="74B2B175">
            <w:pPr>
              <w:widowControl/>
              <w:adjustRightInd w:val="0"/>
              <w:snapToGrid w:val="0"/>
              <w:spacing w:line="300" w:lineRule="exact"/>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③本评审项为评标委员会主观评审项，投标人的本项得分分值不予公布。</w:t>
            </w:r>
          </w:p>
        </w:tc>
      </w:tr>
      <w:tr w14:paraId="76BE3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394" w:hRule="atLeast"/>
          <w:jc w:val="center"/>
        </w:trPr>
        <w:tc>
          <w:tcPr>
            <w:tcW w:w="1050" w:type="dxa"/>
            <w:vMerge w:val="continue"/>
            <w:shd w:val="clear" w:color="auto" w:fill="auto"/>
            <w:vAlign w:val="center"/>
          </w:tcPr>
          <w:p w14:paraId="712B9ABB">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339360AB">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（2）质量控制措施内容全面、工作流程得当、方案对本项目有针对性。评委据此酌情打分，内容全面工作流畅得4.1-5.0分，内容较全面工作较流畅得3.1-4.0分，一般得0.1-3.0分，不提供不得分。</w:t>
            </w:r>
          </w:p>
        </w:tc>
        <w:tc>
          <w:tcPr>
            <w:tcW w:w="4538" w:type="dxa"/>
            <w:vMerge w:val="continue"/>
            <w:shd w:val="clear" w:color="auto" w:fill="auto"/>
            <w:tcMar>
              <w:top w:w="0" w:type="dxa"/>
              <w:left w:w="108" w:type="dxa"/>
              <w:bottom w:w="0" w:type="dxa"/>
              <w:right w:w="108" w:type="dxa"/>
            </w:tcMar>
            <w:vAlign w:val="center"/>
          </w:tcPr>
          <w:p w14:paraId="2746F1D9">
            <w:pPr>
              <w:snapToGrid w:val="0"/>
              <w:jc w:val="center"/>
              <w:rPr>
                <w:rFonts w:hint="eastAsia" w:ascii="仿宋" w:hAnsi="仿宋" w:eastAsia="仿宋" w:cs="仿宋"/>
                <w:color w:val="auto"/>
                <w:kern w:val="0"/>
                <w:sz w:val="24"/>
                <w:szCs w:val="24"/>
                <w:highlight w:val="none"/>
              </w:rPr>
            </w:pPr>
          </w:p>
        </w:tc>
      </w:tr>
      <w:tr w14:paraId="4A408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394" w:hRule="atLeast"/>
          <w:jc w:val="center"/>
        </w:trPr>
        <w:tc>
          <w:tcPr>
            <w:tcW w:w="1050" w:type="dxa"/>
            <w:vMerge w:val="continue"/>
            <w:shd w:val="clear" w:color="auto" w:fill="auto"/>
            <w:vAlign w:val="center"/>
          </w:tcPr>
          <w:p w14:paraId="145EF98B">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032E3F98">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（3）进度控制措施内容全面、工作流程得当、方案对本项目有针对性。评委据此酌情 打分，内容全面、工作流程得当、方案对本项目有很强的针对性得4.1-5.0分，内容较 齐全完整得 3.1-4.0分，一般得0.1-3.0分，不提供不得分。</w:t>
            </w:r>
          </w:p>
        </w:tc>
        <w:tc>
          <w:tcPr>
            <w:tcW w:w="4538" w:type="dxa"/>
            <w:vMerge w:val="continue"/>
            <w:shd w:val="clear" w:color="auto" w:fill="auto"/>
            <w:tcMar>
              <w:top w:w="0" w:type="dxa"/>
              <w:left w:w="108" w:type="dxa"/>
              <w:bottom w:w="0" w:type="dxa"/>
              <w:right w:w="108" w:type="dxa"/>
            </w:tcMar>
            <w:vAlign w:val="center"/>
          </w:tcPr>
          <w:p w14:paraId="3106BE28">
            <w:pPr>
              <w:snapToGrid w:val="0"/>
              <w:jc w:val="center"/>
              <w:rPr>
                <w:rFonts w:hint="eastAsia" w:ascii="仿宋" w:hAnsi="仿宋" w:eastAsia="仿宋" w:cs="仿宋"/>
                <w:color w:val="auto"/>
                <w:kern w:val="0"/>
                <w:sz w:val="24"/>
                <w:szCs w:val="24"/>
                <w:highlight w:val="none"/>
              </w:rPr>
            </w:pPr>
          </w:p>
        </w:tc>
      </w:tr>
      <w:tr w14:paraId="19254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394" w:hRule="atLeast"/>
          <w:jc w:val="center"/>
        </w:trPr>
        <w:tc>
          <w:tcPr>
            <w:tcW w:w="1050" w:type="dxa"/>
            <w:vMerge w:val="continue"/>
            <w:shd w:val="clear" w:color="auto" w:fill="auto"/>
            <w:vAlign w:val="center"/>
          </w:tcPr>
          <w:p w14:paraId="6B4242F1">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2FAC03CE">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（4）投资及变更控制措施内容全面、工作流程得当、方案对本项目有针对性。评委据 此酌情打分，内容全面、工作流程得当得4.1-5.0分，内容较齐全完整得3.1-4.0分，一般得 0.1-3.0分，不提供不得分。</w:t>
            </w:r>
          </w:p>
        </w:tc>
        <w:tc>
          <w:tcPr>
            <w:tcW w:w="4538" w:type="dxa"/>
            <w:vMerge w:val="continue"/>
            <w:shd w:val="clear" w:color="auto" w:fill="auto"/>
            <w:tcMar>
              <w:top w:w="0" w:type="dxa"/>
              <w:left w:w="108" w:type="dxa"/>
              <w:bottom w:w="0" w:type="dxa"/>
              <w:right w:w="108" w:type="dxa"/>
            </w:tcMar>
            <w:vAlign w:val="center"/>
          </w:tcPr>
          <w:p w14:paraId="5333D837">
            <w:pPr>
              <w:snapToGrid w:val="0"/>
              <w:jc w:val="center"/>
              <w:rPr>
                <w:rFonts w:hint="eastAsia" w:ascii="仿宋" w:hAnsi="仿宋" w:eastAsia="仿宋" w:cs="仿宋"/>
                <w:color w:val="auto"/>
                <w:kern w:val="0"/>
                <w:sz w:val="24"/>
                <w:szCs w:val="24"/>
                <w:highlight w:val="none"/>
              </w:rPr>
            </w:pPr>
          </w:p>
        </w:tc>
      </w:tr>
      <w:tr w14:paraId="5B6E7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394" w:hRule="atLeast"/>
          <w:jc w:val="center"/>
        </w:trPr>
        <w:tc>
          <w:tcPr>
            <w:tcW w:w="1050" w:type="dxa"/>
            <w:vMerge w:val="continue"/>
            <w:shd w:val="clear" w:color="auto" w:fill="auto"/>
            <w:vAlign w:val="center"/>
          </w:tcPr>
          <w:p w14:paraId="3466EFF7">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49E32389">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（5）合同与信息管理内容全面、工作流程得当。评委据此酌情打分，内容全面、工作 流程得当得4.1-5.0分，内容较齐全完整得3.1-4.0 分，一般得 0.1-3.0分，不提供不 得分。</w:t>
            </w:r>
          </w:p>
        </w:tc>
        <w:tc>
          <w:tcPr>
            <w:tcW w:w="4538" w:type="dxa"/>
            <w:vMerge w:val="continue"/>
            <w:shd w:val="clear" w:color="auto" w:fill="auto"/>
            <w:tcMar>
              <w:top w:w="0" w:type="dxa"/>
              <w:left w:w="108" w:type="dxa"/>
              <w:bottom w:w="0" w:type="dxa"/>
              <w:right w:w="108" w:type="dxa"/>
            </w:tcMar>
            <w:vAlign w:val="center"/>
          </w:tcPr>
          <w:p w14:paraId="037A3AC5">
            <w:pPr>
              <w:snapToGrid w:val="0"/>
              <w:jc w:val="center"/>
              <w:rPr>
                <w:rFonts w:hint="eastAsia" w:ascii="仿宋" w:hAnsi="仿宋" w:eastAsia="仿宋" w:cs="仿宋"/>
                <w:color w:val="auto"/>
                <w:kern w:val="0"/>
                <w:sz w:val="24"/>
                <w:szCs w:val="24"/>
                <w:highlight w:val="none"/>
              </w:rPr>
            </w:pPr>
          </w:p>
        </w:tc>
      </w:tr>
      <w:tr w14:paraId="24CAA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464" w:hRule="atLeast"/>
          <w:jc w:val="center"/>
        </w:trPr>
        <w:tc>
          <w:tcPr>
            <w:tcW w:w="1050" w:type="dxa"/>
            <w:vMerge w:val="continue"/>
            <w:shd w:val="clear" w:color="auto" w:fill="auto"/>
            <w:vAlign w:val="center"/>
          </w:tcPr>
          <w:p w14:paraId="1FC636F8">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715FD8DA">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（6）安全控制措施内容全面、工作流程得当、方案对本项目有针对性。评委据此酌情 打分，内容全面、工作流程得 4.1-5.0 分，内容较全面工作较流畅得 3.1-4.0分，一般得0.1-3.0 分，不提供不得分。</w:t>
            </w:r>
          </w:p>
        </w:tc>
        <w:tc>
          <w:tcPr>
            <w:tcW w:w="4538" w:type="dxa"/>
            <w:vMerge w:val="continue"/>
            <w:shd w:val="clear" w:color="auto" w:fill="auto"/>
            <w:tcMar>
              <w:top w:w="0" w:type="dxa"/>
              <w:left w:w="108" w:type="dxa"/>
              <w:bottom w:w="0" w:type="dxa"/>
              <w:right w:w="108" w:type="dxa"/>
            </w:tcMar>
            <w:vAlign w:val="center"/>
          </w:tcPr>
          <w:p w14:paraId="3CDED60C">
            <w:pPr>
              <w:snapToGrid w:val="0"/>
              <w:jc w:val="center"/>
              <w:rPr>
                <w:rFonts w:hint="eastAsia" w:ascii="仿宋" w:hAnsi="仿宋" w:eastAsia="仿宋" w:cs="仿宋"/>
                <w:color w:val="auto"/>
                <w:kern w:val="0"/>
                <w:sz w:val="24"/>
                <w:szCs w:val="24"/>
                <w:highlight w:val="none"/>
              </w:rPr>
            </w:pPr>
          </w:p>
        </w:tc>
      </w:tr>
      <w:tr w14:paraId="11467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254" w:hRule="atLeast"/>
          <w:jc w:val="center"/>
        </w:trPr>
        <w:tc>
          <w:tcPr>
            <w:tcW w:w="1050" w:type="dxa"/>
            <w:vMerge w:val="continue"/>
            <w:shd w:val="clear" w:color="auto" w:fill="auto"/>
            <w:vAlign w:val="center"/>
          </w:tcPr>
          <w:p w14:paraId="4BD44825">
            <w:pPr>
              <w:widowControl/>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top"/>
          </w:tcPr>
          <w:p w14:paraId="4F0FBD07">
            <w:pPr>
              <w:widowControl/>
              <w:adjustRightInd w:val="0"/>
              <w:snapToGrid w:val="0"/>
              <w:spacing w:line="30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（7）提出的本项目技术重点难点齐全、对本项目技术重点难点分析妥当、监理措施对 本项目有针对性、监理措施可行。评委据此酌情打分，重点难点齐全、技术重点难点 分析妥当、监理措施对本项目有针对性、监理措施可行得4.1-5.0分，内容较全面工作 较流畅得3.1-4.0分，一般得0.1-3.0，不提供不得分。</w:t>
            </w:r>
          </w:p>
        </w:tc>
        <w:tc>
          <w:tcPr>
            <w:tcW w:w="4538" w:type="dxa"/>
            <w:vMerge w:val="continue"/>
            <w:shd w:val="clear" w:color="auto" w:fill="auto"/>
            <w:tcMar>
              <w:top w:w="0" w:type="dxa"/>
              <w:left w:w="108" w:type="dxa"/>
              <w:bottom w:w="0" w:type="dxa"/>
              <w:right w:w="108" w:type="dxa"/>
            </w:tcMar>
            <w:vAlign w:val="center"/>
          </w:tcPr>
          <w:p w14:paraId="4262F08D">
            <w:pPr>
              <w:snapToGrid w:val="0"/>
              <w:jc w:val="center"/>
              <w:rPr>
                <w:rFonts w:hint="eastAsia" w:ascii="仿宋" w:hAnsi="仿宋" w:eastAsia="仿宋" w:cs="仿宋"/>
                <w:color w:val="auto"/>
                <w:kern w:val="0"/>
                <w:sz w:val="24"/>
                <w:szCs w:val="24"/>
                <w:highlight w:val="none"/>
              </w:rPr>
            </w:pPr>
          </w:p>
        </w:tc>
      </w:tr>
      <w:tr w14:paraId="301DE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2772" w:hRule="atLeast"/>
          <w:jc w:val="center"/>
        </w:trPr>
        <w:tc>
          <w:tcPr>
            <w:tcW w:w="1050" w:type="dxa"/>
            <w:vMerge w:val="restart"/>
            <w:shd w:val="clear" w:color="auto" w:fill="auto"/>
            <w:vAlign w:val="center"/>
          </w:tcPr>
          <w:p w14:paraId="53F74CE8">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企业实力（满分</w:t>
            </w:r>
            <w:r>
              <w:rPr>
                <w:rFonts w:hint="eastAsia" w:ascii="仿宋" w:hAnsi="仿宋" w:eastAsia="仿宋" w:cs="仿宋"/>
                <w:color w:val="auto"/>
                <w:kern w:val="0"/>
                <w:sz w:val="24"/>
                <w:szCs w:val="24"/>
                <w:highlight w:val="none"/>
                <w:lang w:val="en-US" w:eastAsia="zh-CN"/>
              </w:rPr>
              <w:t>20</w:t>
            </w:r>
            <w:r>
              <w:rPr>
                <w:rFonts w:hint="eastAsia" w:ascii="仿宋" w:hAnsi="仿宋" w:eastAsia="仿宋" w:cs="仿宋"/>
                <w:color w:val="auto"/>
                <w:kern w:val="0"/>
                <w:sz w:val="24"/>
                <w:szCs w:val="24"/>
                <w:highlight w:val="none"/>
              </w:rPr>
              <w:t>分）</w:t>
            </w:r>
          </w:p>
        </w:tc>
        <w:tc>
          <w:tcPr>
            <w:tcW w:w="4273" w:type="dxa"/>
            <w:shd w:val="clear" w:color="auto" w:fill="auto"/>
            <w:vAlign w:val="center"/>
          </w:tcPr>
          <w:p w14:paraId="2BA43A4D">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（1）投标人企业近5年内监理过单项施工合同</w:t>
            </w:r>
            <w:r>
              <w:rPr>
                <w:rFonts w:hint="eastAsia" w:ascii="仿宋" w:hAnsi="仿宋" w:eastAsia="仿宋" w:cs="仿宋"/>
                <w:b/>
                <w:bCs/>
                <w:color w:val="auto"/>
                <w:sz w:val="24"/>
                <w:szCs w:val="24"/>
                <w:highlight w:val="none"/>
                <w:lang w:val="en-US" w:eastAsia="zh-CN"/>
              </w:rPr>
              <w:t>建筑面积≥6000㎡或建安投资额≥1000万元或监理服务费≥10万元</w:t>
            </w:r>
            <w:r>
              <w:rPr>
                <w:rFonts w:hint="eastAsia" w:ascii="仿宋" w:hAnsi="仿宋" w:eastAsia="仿宋" w:cs="仿宋"/>
                <w:color w:val="auto"/>
                <w:sz w:val="24"/>
                <w:szCs w:val="24"/>
                <w:highlight w:val="none"/>
                <w:lang w:val="en-US" w:eastAsia="zh-CN"/>
              </w:rPr>
              <w:t>的</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房屋建筑工程</w:t>
            </w:r>
            <w:r>
              <w:rPr>
                <w:rFonts w:hint="eastAsia" w:ascii="仿宋" w:hAnsi="仿宋" w:eastAsia="仿宋" w:cs="仿宋"/>
                <w:color w:val="auto"/>
                <w:sz w:val="24"/>
                <w:szCs w:val="24"/>
                <w:highlight w:val="none"/>
                <w:lang w:val="en-US" w:eastAsia="zh-CN"/>
              </w:rPr>
              <w:t>监理业绩的，每提供一份有效的监理业绩证明材料的得5分，本项满分10分。</w:t>
            </w:r>
          </w:p>
        </w:tc>
        <w:tc>
          <w:tcPr>
            <w:tcW w:w="4538" w:type="dxa"/>
            <w:shd w:val="clear" w:color="auto" w:fill="auto"/>
            <w:tcMar>
              <w:top w:w="0" w:type="dxa"/>
              <w:left w:w="108" w:type="dxa"/>
              <w:bottom w:w="0" w:type="dxa"/>
              <w:right w:w="108" w:type="dxa"/>
            </w:tcMar>
            <w:vAlign w:val="center"/>
          </w:tcPr>
          <w:p w14:paraId="6EFE06A5">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①“近5年”是指：自2021年1月1日以来（时间以监理合同中发包人单位签署的时间为准，余同）。</w:t>
            </w:r>
          </w:p>
          <w:p w14:paraId="4A940C7C">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②“监理业绩证明材料”是指：监理合同（须能清楚看到合同双方单位印章、签订日期、建设规模等评审内容，</w:t>
            </w:r>
          </w:p>
          <w:p w14:paraId="12C9E54E">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否则为无效业绩），扫描件上传至电子投标文件中，否则不予计分。</w:t>
            </w:r>
          </w:p>
          <w:p w14:paraId="13753491">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③业绩规模中的单项施工合同金额以监理合同中注明的“工程概算投资额或建筑安装工程费 ”金额为准；若监理业绩合同中无法体现或指标不满足本评分条件的，则该项业绩不予计分。</w:t>
            </w:r>
          </w:p>
          <w:p w14:paraId="04A333BF">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④企业工程监理业绩仅限以投标单位名称的法人（不含总公司或下属公司）所取得的业绩，否则不予计分。</w:t>
            </w:r>
          </w:p>
        </w:tc>
      </w:tr>
      <w:tr w14:paraId="0B391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2772" w:hRule="atLeast"/>
          <w:jc w:val="center"/>
        </w:trPr>
        <w:tc>
          <w:tcPr>
            <w:tcW w:w="1050" w:type="dxa"/>
            <w:vMerge w:val="continue"/>
            <w:shd w:val="clear" w:color="auto" w:fill="auto"/>
            <w:vAlign w:val="center"/>
          </w:tcPr>
          <w:p w14:paraId="4E8DD822">
            <w:pPr>
              <w:widowControl/>
              <w:adjustRightInd w:val="0"/>
              <w:snapToGrid w:val="0"/>
              <w:jc w:val="center"/>
              <w:rPr>
                <w:rFonts w:hint="eastAsia" w:ascii="仿宋" w:hAnsi="仿宋" w:eastAsia="仿宋" w:cs="仿宋"/>
                <w:color w:val="auto"/>
                <w:kern w:val="0"/>
                <w:sz w:val="24"/>
                <w:szCs w:val="24"/>
                <w:highlight w:val="none"/>
              </w:rPr>
            </w:pPr>
          </w:p>
        </w:tc>
        <w:tc>
          <w:tcPr>
            <w:tcW w:w="4273" w:type="dxa"/>
            <w:shd w:val="clear" w:color="auto" w:fill="auto"/>
            <w:vAlign w:val="center"/>
          </w:tcPr>
          <w:p w14:paraId="74CEA3D7">
            <w:pPr>
              <w:widowControl/>
              <w:numPr>
                <w:ilvl w:val="0"/>
                <w:numId w:val="0"/>
              </w:numPr>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（2）</w:t>
            </w:r>
            <w:r>
              <w:rPr>
                <w:rFonts w:hint="eastAsia" w:ascii="仿宋" w:hAnsi="仿宋" w:eastAsia="仿宋" w:cs="仿宋"/>
                <w:color w:val="auto"/>
                <w:sz w:val="24"/>
                <w:szCs w:val="24"/>
                <w:highlight w:val="none"/>
                <w:lang w:val="en-US" w:eastAsia="zh-CN"/>
              </w:rPr>
              <w:t>投标人企业近5年内获得过市级及以上优秀（或先进）监理企业或者优秀（或先进）咨询监理企业称号的每提供一个得5分，本项满分10分。</w:t>
            </w:r>
          </w:p>
        </w:tc>
        <w:tc>
          <w:tcPr>
            <w:tcW w:w="4538" w:type="dxa"/>
            <w:shd w:val="clear" w:color="auto" w:fill="auto"/>
            <w:tcMar>
              <w:top w:w="0" w:type="dxa"/>
              <w:left w:w="108" w:type="dxa"/>
              <w:bottom w:w="0" w:type="dxa"/>
              <w:right w:w="108" w:type="dxa"/>
            </w:tcMar>
            <w:vAlign w:val="center"/>
          </w:tcPr>
          <w:p w14:paraId="1A7A4CE8">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①“近5年”是指：自2021年1月1日以来，时间以荣誉证书（或红头文件）中注明的落款日期为准。</w:t>
            </w:r>
          </w:p>
          <w:p w14:paraId="2C99FA8B">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②“获奖证明材料 ”是指：以行政主管部门（或建设管理部门或行业协会）颁发的获奖证书（或红头文件）为准，若当年度荣誉已评选公示，但暂未发文发证的，可提供颁奖单位官方网站发布的公示名单截图。</w:t>
            </w:r>
          </w:p>
          <w:p w14:paraId="1FDC854E">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③企业荣誉称号仅限以投标单位名称（不含总公司或下属公司）所获得的荣誉称号。</w:t>
            </w:r>
          </w:p>
          <w:p w14:paraId="24BCA0B6">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④获奖证书（或文件）不足以明确显示获奖单位名称时，须同时提供发证（文）单位证明文件作为附件。</w:t>
            </w:r>
          </w:p>
          <w:p w14:paraId="055542E4">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fldChar w:fldCharType="begin"/>
            </w:r>
            <w:r>
              <w:rPr>
                <w:rFonts w:hint="eastAsia" w:ascii="仿宋" w:hAnsi="仿宋" w:eastAsia="仿宋" w:cs="仿宋"/>
                <w:color w:val="auto"/>
                <w:kern w:val="0"/>
                <w:sz w:val="24"/>
                <w:szCs w:val="24"/>
                <w:highlight w:val="none"/>
                <w:lang w:val="en-US" w:eastAsia="zh-CN" w:bidi="ar-SA"/>
              </w:rPr>
              <w:instrText xml:space="preserve"> = 5 \* GB3 \* MERGEFORMAT </w:instrText>
            </w:r>
            <w:r>
              <w:rPr>
                <w:rFonts w:hint="eastAsia" w:ascii="仿宋" w:hAnsi="仿宋" w:eastAsia="仿宋" w:cs="仿宋"/>
                <w:color w:val="auto"/>
                <w:kern w:val="0"/>
                <w:sz w:val="24"/>
                <w:szCs w:val="24"/>
                <w:highlight w:val="none"/>
                <w:lang w:val="en-US" w:eastAsia="zh-CN" w:bidi="ar-SA"/>
              </w:rPr>
              <w:fldChar w:fldCharType="separate"/>
            </w:r>
            <w:r>
              <w:rPr>
                <w:rFonts w:hint="eastAsia" w:ascii="仿宋" w:hAnsi="仿宋" w:eastAsia="仿宋" w:cs="仿宋"/>
                <w:color w:val="auto"/>
                <w:kern w:val="0"/>
                <w:sz w:val="24"/>
                <w:szCs w:val="24"/>
                <w:highlight w:val="none"/>
                <w:lang w:val="en-US" w:eastAsia="zh-CN" w:bidi="ar-SA"/>
              </w:rPr>
              <w:t>⑤</w:t>
            </w:r>
            <w:r>
              <w:rPr>
                <w:rFonts w:hint="eastAsia" w:ascii="仿宋" w:hAnsi="仿宋" w:eastAsia="仿宋" w:cs="仿宋"/>
                <w:color w:val="auto"/>
                <w:kern w:val="0"/>
                <w:sz w:val="24"/>
                <w:szCs w:val="24"/>
                <w:highlight w:val="none"/>
                <w:lang w:val="en-US" w:eastAsia="zh-CN" w:bidi="ar-SA"/>
              </w:rPr>
              <w:fldChar w:fldCharType="end"/>
            </w:r>
            <w:r>
              <w:rPr>
                <w:rFonts w:hint="eastAsia" w:ascii="仿宋" w:hAnsi="仿宋" w:eastAsia="仿宋" w:cs="仿宋"/>
                <w:color w:val="auto"/>
                <w:kern w:val="0"/>
                <w:sz w:val="24"/>
                <w:szCs w:val="24"/>
                <w:highlight w:val="none"/>
                <w:lang w:val="en-US" w:eastAsia="zh-CN" w:bidi="ar-SA"/>
              </w:rPr>
              <w:t>获奖证明材料扫描件放入投标文件中。</w:t>
            </w:r>
          </w:p>
        </w:tc>
      </w:tr>
      <w:tr w14:paraId="424A1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1096" w:hRule="atLeast"/>
          <w:jc w:val="center"/>
        </w:trPr>
        <w:tc>
          <w:tcPr>
            <w:tcW w:w="1050" w:type="dxa"/>
            <w:vMerge w:val="restart"/>
            <w:shd w:val="clear" w:color="auto" w:fill="auto"/>
            <w:vAlign w:val="center"/>
          </w:tcPr>
          <w:p w14:paraId="5C47AFD5">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zh-CN"/>
              </w:rPr>
              <w:t>总监实力（</w:t>
            </w:r>
            <w:r>
              <w:rPr>
                <w:rFonts w:hint="eastAsia" w:ascii="仿宋" w:hAnsi="仿宋" w:eastAsia="仿宋" w:cs="仿宋"/>
                <w:color w:val="auto"/>
                <w:kern w:val="0"/>
                <w:sz w:val="24"/>
                <w:szCs w:val="24"/>
                <w:highlight w:val="none"/>
              </w:rPr>
              <w:t>满分</w:t>
            </w: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分</w:t>
            </w:r>
            <w:r>
              <w:rPr>
                <w:rFonts w:hint="eastAsia" w:ascii="仿宋" w:hAnsi="仿宋" w:eastAsia="仿宋" w:cs="仿宋"/>
                <w:color w:val="auto"/>
                <w:kern w:val="0"/>
                <w:sz w:val="24"/>
                <w:szCs w:val="24"/>
                <w:highlight w:val="none"/>
                <w:lang w:val="zh-CN"/>
              </w:rPr>
              <w:t>）</w:t>
            </w:r>
          </w:p>
        </w:tc>
        <w:tc>
          <w:tcPr>
            <w:tcW w:w="4273" w:type="dxa"/>
            <w:shd w:val="clear" w:color="auto" w:fill="auto"/>
            <w:vAlign w:val="center"/>
          </w:tcPr>
          <w:p w14:paraId="74E713CA">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（1）拟派总监理工程师在近5年监理过的单项工程施工合同</w:t>
            </w:r>
            <w:r>
              <w:rPr>
                <w:rFonts w:hint="eastAsia" w:ascii="仿宋" w:hAnsi="仿宋" w:eastAsia="仿宋" w:cs="仿宋"/>
                <w:b/>
                <w:bCs/>
                <w:color w:val="auto"/>
                <w:sz w:val="24"/>
                <w:szCs w:val="24"/>
                <w:highlight w:val="none"/>
                <w:lang w:val="en-US" w:eastAsia="zh-CN"/>
              </w:rPr>
              <w:t>建筑面积≥6000㎡或建安投资额≥1000万元或监理服务费≥10万元</w:t>
            </w:r>
            <w:r>
              <w:rPr>
                <w:rFonts w:hint="eastAsia" w:ascii="仿宋" w:hAnsi="仿宋" w:eastAsia="仿宋" w:cs="仿宋"/>
                <w:color w:val="auto"/>
                <w:sz w:val="24"/>
                <w:szCs w:val="24"/>
                <w:highlight w:val="none"/>
                <w:lang w:val="en-US" w:eastAsia="zh-CN"/>
              </w:rPr>
              <w:t>的</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房屋建筑工程</w:t>
            </w:r>
            <w:r>
              <w:rPr>
                <w:rFonts w:hint="eastAsia" w:ascii="仿宋" w:hAnsi="仿宋" w:eastAsia="仿宋" w:cs="仿宋"/>
                <w:color w:val="auto"/>
                <w:sz w:val="24"/>
                <w:szCs w:val="24"/>
                <w:highlight w:val="none"/>
                <w:lang w:val="en-US" w:eastAsia="zh-CN"/>
              </w:rPr>
              <w:t>监理业绩的监理业绩中担任总监理工程师岗位的得5分，本项满分5分。</w:t>
            </w:r>
          </w:p>
          <w:p w14:paraId="6E278BC5">
            <w:pPr>
              <w:widowControl/>
              <w:adjustRightInd w:val="0"/>
              <w:snapToGrid w:val="0"/>
              <w:spacing w:line="300" w:lineRule="exact"/>
              <w:rPr>
                <w:rFonts w:hint="eastAsia" w:ascii="仿宋" w:hAnsi="仿宋" w:eastAsia="仿宋" w:cs="仿宋"/>
                <w:color w:val="auto"/>
                <w:sz w:val="24"/>
                <w:szCs w:val="24"/>
                <w:highlight w:val="none"/>
                <w:lang w:val="en-US" w:eastAsia="zh-CN"/>
              </w:rPr>
            </w:pPr>
          </w:p>
        </w:tc>
        <w:tc>
          <w:tcPr>
            <w:tcW w:w="4538" w:type="dxa"/>
            <w:shd w:val="clear" w:color="auto" w:fill="auto"/>
            <w:tcMar>
              <w:top w:w="0" w:type="dxa"/>
              <w:left w:w="108" w:type="dxa"/>
              <w:bottom w:w="0" w:type="dxa"/>
              <w:right w:w="108" w:type="dxa"/>
            </w:tcMar>
            <w:vAlign w:val="center"/>
          </w:tcPr>
          <w:p w14:paraId="63375236">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①“近5年”是指：自202</w:t>
            </w:r>
            <w:r>
              <w:rPr>
                <w:rFonts w:hint="eastAsia" w:ascii="仿宋" w:hAnsi="仿宋" w:eastAsia="仿宋" w:cs="仿宋"/>
                <w:color w:val="auto"/>
                <w:kern w:val="0"/>
                <w:sz w:val="24"/>
                <w:szCs w:val="24"/>
                <w:highlight w:val="none"/>
                <w:lang w:val="en-US" w:eastAsia="zh-CN" w:bidi="ar-SA"/>
              </w:rPr>
              <w:t>1</w:t>
            </w:r>
            <w:r>
              <w:rPr>
                <w:rFonts w:hint="default" w:ascii="仿宋" w:hAnsi="仿宋" w:eastAsia="仿宋" w:cs="仿宋"/>
                <w:color w:val="auto"/>
                <w:kern w:val="0"/>
                <w:sz w:val="24"/>
                <w:szCs w:val="24"/>
                <w:highlight w:val="none"/>
                <w:lang w:val="en-US" w:eastAsia="zh-CN" w:bidi="ar-SA"/>
              </w:rPr>
              <w:t>年1月1日以来（时间以监理合同中发包人单位签署的时间为准，余同）。</w:t>
            </w:r>
          </w:p>
          <w:p w14:paraId="6E55C8AC">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②“监理业绩证明材料”是指：监理合同（须能清楚看到合同双方单位印章、签订日期、建设规模等评审内容，否则为无效业绩），扫描件放入投标文件中，否则不予计分。</w:t>
            </w:r>
          </w:p>
          <w:p w14:paraId="7A3A6980">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③业绩规模中的单项施工合同金额以监理合同中注明的“工程概算投资额或建筑安装工程费 ”金额为准；若监理业绩合同中无法体现或指标不满足本评分条件的，则该项业绩不予计分。</w:t>
            </w:r>
          </w:p>
          <w:p w14:paraId="6F0D08D6">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④监理合同中必须能体现业绩项目的总监理工程师姓名，且均必须与投标人参加本项目投标时的拟派总监理工程师一致，以监理合同中注明的总监理工程师为准，否则不予计分。</w:t>
            </w:r>
          </w:p>
          <w:p w14:paraId="2DEEC282">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⑤总监业绩与企业业绩可以重复。</w:t>
            </w:r>
          </w:p>
        </w:tc>
      </w:tr>
      <w:tr w14:paraId="1FD97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2385" w:hRule="atLeast"/>
          <w:jc w:val="center"/>
        </w:trPr>
        <w:tc>
          <w:tcPr>
            <w:tcW w:w="1050" w:type="dxa"/>
            <w:vMerge w:val="continue"/>
            <w:shd w:val="clear" w:color="auto" w:fill="auto"/>
            <w:vAlign w:val="center"/>
          </w:tcPr>
          <w:p w14:paraId="02D27755">
            <w:pPr>
              <w:widowControl/>
              <w:jc w:val="center"/>
              <w:rPr>
                <w:rFonts w:hint="eastAsia" w:ascii="仿宋" w:hAnsi="仿宋" w:eastAsia="仿宋" w:cs="仿宋"/>
                <w:color w:val="auto"/>
                <w:kern w:val="0"/>
                <w:sz w:val="24"/>
                <w:szCs w:val="24"/>
                <w:highlight w:val="none"/>
              </w:rPr>
            </w:pPr>
          </w:p>
        </w:tc>
        <w:tc>
          <w:tcPr>
            <w:tcW w:w="4273" w:type="dxa"/>
            <w:shd w:val="clear" w:color="auto" w:fill="auto"/>
            <w:vAlign w:val="center"/>
          </w:tcPr>
          <w:p w14:paraId="2FA2AAE8">
            <w:pPr>
              <w:widowControl/>
              <w:adjustRightInd w:val="0"/>
              <w:snapToGrid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（2）拟派总监理工程师近5年内获得过市级及以上优秀总监理工程师称号的得5分；本项满分5分。</w:t>
            </w:r>
          </w:p>
        </w:tc>
        <w:tc>
          <w:tcPr>
            <w:tcW w:w="4538" w:type="dxa"/>
            <w:shd w:val="clear" w:color="auto" w:fill="auto"/>
            <w:tcMar>
              <w:top w:w="0" w:type="dxa"/>
              <w:left w:w="108" w:type="dxa"/>
              <w:bottom w:w="0" w:type="dxa"/>
              <w:right w:w="108" w:type="dxa"/>
            </w:tcMar>
            <w:vAlign w:val="center"/>
          </w:tcPr>
          <w:p w14:paraId="6E13A49D">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①“近5年”是指：自202</w:t>
            </w:r>
            <w:r>
              <w:rPr>
                <w:rFonts w:hint="eastAsia" w:ascii="仿宋" w:hAnsi="仿宋" w:eastAsia="仿宋" w:cs="仿宋"/>
                <w:color w:val="auto"/>
                <w:kern w:val="0"/>
                <w:sz w:val="24"/>
                <w:szCs w:val="24"/>
                <w:highlight w:val="none"/>
                <w:lang w:val="en-US" w:eastAsia="zh-CN" w:bidi="ar-SA"/>
              </w:rPr>
              <w:t>1</w:t>
            </w:r>
            <w:r>
              <w:rPr>
                <w:rFonts w:hint="default" w:ascii="仿宋" w:hAnsi="仿宋" w:eastAsia="仿宋" w:cs="仿宋"/>
                <w:color w:val="auto"/>
                <w:kern w:val="0"/>
                <w:sz w:val="24"/>
                <w:szCs w:val="24"/>
                <w:highlight w:val="none"/>
                <w:lang w:val="en-US" w:eastAsia="zh-CN" w:bidi="ar-SA"/>
              </w:rPr>
              <w:t>年1月1日以来，以荣誉证书（或红头文件）中注明的落款日期为准。</w:t>
            </w:r>
          </w:p>
          <w:p w14:paraId="041261C1">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 xml:space="preserve">②“获奖证明材料”是指：以行政主管部门（或建设管理部门或建设主管部门授权的行业协会）颁发的获奖证书（或红头文件）为准。提供扫描件放入子投标文件中。 </w:t>
            </w:r>
          </w:p>
          <w:p w14:paraId="3FAA5232">
            <w:pPr>
              <w:widowControl/>
              <w:adjustRightInd w:val="0"/>
              <w:snapToGrid w:val="0"/>
              <w:spacing w:line="300" w:lineRule="exact"/>
              <w:rPr>
                <w:rFonts w:hint="default" w:ascii="仿宋" w:hAnsi="仿宋" w:eastAsia="仿宋" w:cs="仿宋"/>
                <w:color w:val="auto"/>
                <w:kern w:val="0"/>
                <w:sz w:val="24"/>
                <w:szCs w:val="24"/>
                <w:highlight w:val="none"/>
                <w:lang w:val="en-US" w:eastAsia="zh-CN" w:bidi="ar-SA"/>
              </w:rPr>
            </w:pPr>
            <w:r>
              <w:rPr>
                <w:rFonts w:hint="default" w:ascii="仿宋" w:hAnsi="仿宋" w:eastAsia="仿宋" w:cs="仿宋"/>
                <w:color w:val="auto"/>
                <w:kern w:val="0"/>
                <w:sz w:val="24"/>
                <w:szCs w:val="24"/>
                <w:highlight w:val="none"/>
                <w:lang w:val="en-US" w:eastAsia="zh-CN" w:bidi="ar-SA"/>
              </w:rPr>
              <w:t>③证明材料中必须能体现总监理工程师姓名，且必须与本项目的拟派总监理工程师一致。</w:t>
            </w:r>
          </w:p>
        </w:tc>
      </w:tr>
      <w:tr w14:paraId="4963C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17" w:type="dxa"/>
            <w:left w:w="74" w:type="dxa"/>
            <w:bottom w:w="17" w:type="dxa"/>
            <w:right w:w="74" w:type="dxa"/>
          </w:tblCellMar>
        </w:tblPrEx>
        <w:trPr>
          <w:trHeight w:val="1799" w:hRule="atLeast"/>
          <w:jc w:val="center"/>
        </w:trPr>
        <w:tc>
          <w:tcPr>
            <w:tcW w:w="1050" w:type="dxa"/>
            <w:shd w:val="clear" w:color="auto" w:fill="auto"/>
            <w:vAlign w:val="center"/>
          </w:tcPr>
          <w:p w14:paraId="5D3EF253">
            <w:pPr>
              <w:widowControl/>
              <w:adjustRightInd w:val="0"/>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监理服务收费（满分</w:t>
            </w:r>
            <w:r>
              <w:rPr>
                <w:rFonts w:hint="eastAsia" w:ascii="仿宋" w:hAnsi="仿宋" w:eastAsia="仿宋" w:cs="仿宋"/>
                <w:color w:val="auto"/>
                <w:kern w:val="0"/>
                <w:sz w:val="24"/>
                <w:szCs w:val="24"/>
                <w:highlight w:val="none"/>
                <w:lang w:val="en-US" w:eastAsia="zh-CN"/>
              </w:rPr>
              <w:t>35</w:t>
            </w:r>
            <w:r>
              <w:rPr>
                <w:rFonts w:hint="eastAsia" w:ascii="仿宋" w:hAnsi="仿宋" w:eastAsia="仿宋" w:cs="仿宋"/>
                <w:color w:val="auto"/>
                <w:kern w:val="0"/>
                <w:sz w:val="24"/>
                <w:szCs w:val="24"/>
                <w:highlight w:val="none"/>
              </w:rPr>
              <w:t>分）</w:t>
            </w:r>
          </w:p>
        </w:tc>
        <w:tc>
          <w:tcPr>
            <w:tcW w:w="8811" w:type="dxa"/>
            <w:gridSpan w:val="2"/>
            <w:shd w:val="clear" w:color="auto" w:fill="auto"/>
            <w:vAlign w:val="center"/>
          </w:tcPr>
          <w:p w14:paraId="4B775CB2">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以下所有涉及报价计算的结果均按四舍五入原则保留两位小数：</w:t>
            </w:r>
          </w:p>
          <w:p w14:paraId="184285BB">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1、投标人的监理服务收费高于本次招标工程施工监理服务收费最高投标限价A的作为无效标处理，同时该投标人的投标报价不计入平均值计算；</w:t>
            </w:r>
          </w:p>
          <w:p w14:paraId="42AFAB01">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2、低于最高投标限价的75%（不含本数）或高于最高投标限价的85%（不含本数）的投标报价，均不参与以下平均值的计算。</w:t>
            </w:r>
          </w:p>
          <w:p w14:paraId="3966F26A">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当最高投标限价的75%与最高投标限价的85%之间无投标报价时（含本数），属于报价异常，本项目招标失败。</w:t>
            </w:r>
          </w:p>
          <w:p w14:paraId="12274265">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3、计算投标报价算术平均值b</w:t>
            </w:r>
          </w:p>
          <w:p w14:paraId="7D849BA5">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（1）设通过前述各步骤评审的投标人数量为 M,最高投标限价为 A。</w:t>
            </w:r>
          </w:p>
          <w:p w14:paraId="1DC352C9">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（2）当投标单位家数M≤5时，则取所有投标报价的算术平均值为b值</w:t>
            </w:r>
          </w:p>
          <w:p w14:paraId="66822941">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（3）当M＞5 时，按由高到低顺序去掉报价高的M×10%（四舍五入取整数）家和按由低到高顺序去除报价低的M×10%（四舍五入取整数）家后，在此范围内的所有投标报价取算术平均值为b值；</w:t>
            </w:r>
          </w:p>
          <w:p w14:paraId="1FEB1198">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4、有效投标报价等于评标基准值b值的得满分35分。报价每高于评标基准值1%扣0.3分，每低于评标基准值1%扣0.2分，计算结果保留2位小数，计算公式为：35-|投标人报价-评标基准值|/评标基准值*（0.3或0.2）*100。</w:t>
            </w:r>
          </w:p>
          <w:p w14:paraId="3395C5DC">
            <w:pPr>
              <w:widowControl/>
              <w:adjustRightInd w:val="0"/>
              <w:snapToGrid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注：投标人的投标报价保留两位小数，第三位四舍五入。</w:t>
            </w:r>
          </w:p>
        </w:tc>
      </w:tr>
    </w:tbl>
    <w:p w14:paraId="14D797B0">
      <w:pPr>
        <w:keepNext w:val="0"/>
        <w:keepLines w:val="0"/>
        <w:pageBreakBefore w:val="0"/>
        <w:tabs>
          <w:tab w:val="left" w:pos="945"/>
        </w:tabs>
        <w:kinsoku/>
        <w:wordWrap/>
        <w:overflowPunct/>
        <w:topLinePunct w:val="0"/>
        <w:autoSpaceDE/>
        <w:autoSpaceDN/>
        <w:bidi w:val="0"/>
        <w:adjustRightInd/>
        <w:snapToGrid/>
        <w:spacing w:line="500" w:lineRule="exact"/>
        <w:ind w:firstLine="482" w:firstLineChars="200"/>
        <w:outlineLvl w:val="9"/>
        <w:rPr>
          <w:rFonts w:ascii="宋体" w:hAnsi="宋体" w:cs="宋体"/>
          <w:b/>
          <w:color w:val="auto"/>
          <w:sz w:val="24"/>
          <w:szCs w:val="24"/>
          <w:highlight w:val="none"/>
        </w:rPr>
      </w:pPr>
      <w:r>
        <w:rPr>
          <w:rFonts w:ascii="宋体" w:hAnsi="宋体"/>
          <w:b/>
          <w:color w:val="auto"/>
          <w:sz w:val="24"/>
          <w:szCs w:val="24"/>
          <w:highlight w:val="none"/>
        </w:rPr>
        <w:t>五、</w:t>
      </w:r>
      <w:r>
        <w:rPr>
          <w:rFonts w:hint="eastAsia" w:ascii="宋体" w:hAnsi="宋体" w:cs="宋体"/>
          <w:b/>
          <w:color w:val="auto"/>
          <w:sz w:val="24"/>
          <w:szCs w:val="24"/>
          <w:highlight w:val="none"/>
        </w:rPr>
        <w:t>企业信用评审</w:t>
      </w:r>
    </w:p>
    <w:p w14:paraId="2F177769">
      <w:pPr>
        <w:keepNext w:val="0"/>
        <w:keepLines w:val="0"/>
        <w:pageBreakBefore w:val="0"/>
        <w:kinsoku/>
        <w:wordWrap/>
        <w:overflowPunct/>
        <w:topLinePunct w:val="0"/>
        <w:autoSpaceDE/>
        <w:autoSpaceDN/>
        <w:bidi w:val="0"/>
        <w:adjustRightInd/>
        <w:snapToGrid/>
        <w:spacing w:line="500" w:lineRule="exact"/>
        <w:ind w:firstLine="480" w:firstLineChars="200"/>
        <w:textAlignment w:val="baseline"/>
        <w:outlineLvl w:val="9"/>
        <w:rPr>
          <w:rFonts w:ascii="宋体" w:hAnsi="宋体" w:cs="宋体"/>
          <w:color w:val="auto"/>
          <w:sz w:val="24"/>
          <w:szCs w:val="24"/>
          <w:highlight w:val="none"/>
        </w:rPr>
      </w:pPr>
      <w:r>
        <w:rPr>
          <w:rFonts w:hint="eastAsia" w:ascii="宋体" w:hAnsi="宋体" w:cs="宋体"/>
          <w:color w:val="auto"/>
          <w:sz w:val="24"/>
          <w:szCs w:val="24"/>
          <w:highlight w:val="none"/>
        </w:rPr>
        <w:t>评标委员会现场查询投标人诚信承诺书。</w:t>
      </w:r>
    </w:p>
    <w:p w14:paraId="480187AF">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宋体"/>
          <w:b/>
          <w:color w:val="auto"/>
          <w:sz w:val="24"/>
          <w:highlight w:val="none"/>
        </w:rPr>
      </w:pPr>
      <w:r>
        <w:rPr>
          <w:rFonts w:hint="eastAsia" w:ascii="宋体" w:hAnsi="宋体" w:cs="宋体"/>
          <w:b/>
          <w:color w:val="auto"/>
          <w:sz w:val="24"/>
          <w:highlight w:val="none"/>
        </w:rPr>
        <w:t>5.1 行贿犯罪记录</w:t>
      </w:r>
    </w:p>
    <w:p w14:paraId="4547257E">
      <w:pPr>
        <w:keepNext w:val="0"/>
        <w:keepLines w:val="0"/>
        <w:pageBreakBefore w:val="0"/>
        <w:kinsoku/>
        <w:wordWrap/>
        <w:overflowPunct/>
        <w:topLinePunct w:val="0"/>
        <w:autoSpaceDE/>
        <w:autoSpaceDN/>
        <w:bidi w:val="0"/>
        <w:adjustRightInd/>
        <w:snapToGrid/>
        <w:spacing w:line="500" w:lineRule="exact"/>
        <w:ind w:firstLine="480" w:firstLineChars="200"/>
        <w:outlineLvl w:val="9"/>
        <w:rPr>
          <w:color w:val="auto"/>
          <w:highlight w:val="none"/>
        </w:rPr>
      </w:pPr>
      <w:r>
        <w:rPr>
          <w:rFonts w:hint="eastAsia" w:ascii="宋体" w:hAnsi="宋体" w:cs="宋体"/>
          <w:color w:val="auto"/>
          <w:sz w:val="24"/>
          <w:highlight w:val="none"/>
        </w:rPr>
        <w:t>投标人自投标截止之日起前三年有行贿犯罪记录的，信用评审不合格。</w:t>
      </w:r>
    </w:p>
    <w:p w14:paraId="0E42F883">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宋体"/>
          <w:color w:val="auto"/>
          <w:sz w:val="24"/>
          <w:highlight w:val="none"/>
        </w:rPr>
      </w:pPr>
      <w:r>
        <w:rPr>
          <w:rFonts w:hint="eastAsia" w:ascii="宋体" w:hAnsi="宋体" w:cs="宋体"/>
          <w:b/>
          <w:bCs/>
          <w:color w:val="auto"/>
          <w:sz w:val="24"/>
          <w:highlight w:val="none"/>
        </w:rPr>
        <w:t>5.2 限制投标的行政处罚、限制在本市承揽业务的行政处理</w:t>
      </w:r>
    </w:p>
    <w:p w14:paraId="4F44890A">
      <w:pPr>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sz w:val="24"/>
          <w:highlight w:val="none"/>
        </w:rPr>
      </w:pPr>
      <w:r>
        <w:rPr>
          <w:rFonts w:hint="eastAsia" w:ascii="宋体" w:hAnsi="宋体" w:cs="宋体"/>
          <w:color w:val="auto"/>
          <w:sz w:val="24"/>
          <w:highlight w:val="none"/>
        </w:rPr>
        <w:t>投标人“受到招投标行政监管部门（或政府行业监管部门）限制投标的行政处罚，受到政府行业监管部门限制在本市承揽业务的行政处理，至投标截止之日仍在处罚、处理期内的”，信用评审不合格。</w:t>
      </w:r>
    </w:p>
    <w:p w14:paraId="7356B2F3">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宋体"/>
          <w:b/>
          <w:color w:val="auto"/>
          <w:sz w:val="24"/>
          <w:highlight w:val="none"/>
        </w:rPr>
      </w:pPr>
      <w:r>
        <w:rPr>
          <w:rFonts w:hint="eastAsia" w:ascii="宋体" w:hAnsi="宋体" w:cs="宋体"/>
          <w:b/>
          <w:color w:val="auto"/>
          <w:sz w:val="24"/>
          <w:highlight w:val="none"/>
        </w:rPr>
        <w:t>5.3 住建部门“黑名单”</w:t>
      </w:r>
    </w:p>
    <w:p w14:paraId="0A487478">
      <w:pPr>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sz w:val="24"/>
          <w:highlight w:val="none"/>
        </w:rPr>
      </w:pPr>
      <w:r>
        <w:rPr>
          <w:rFonts w:hint="eastAsia" w:ascii="宋体" w:hAnsi="宋体" w:cs="宋体"/>
          <w:color w:val="auto"/>
          <w:sz w:val="24"/>
          <w:highlight w:val="none"/>
        </w:rPr>
        <w:t>被市住建局网站“应用平台”栏目下的“铜陵市建筑施工企业和房地产开发企业信用系统”，被列入“黑名单”的信用评审不合格。</w:t>
      </w:r>
    </w:p>
    <w:p w14:paraId="569CF638">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宋体"/>
          <w:b/>
          <w:color w:val="auto"/>
          <w:sz w:val="24"/>
          <w:highlight w:val="none"/>
        </w:rPr>
      </w:pPr>
      <w:r>
        <w:rPr>
          <w:rFonts w:hint="eastAsia" w:ascii="宋体" w:hAnsi="宋体" w:cs="宋体"/>
          <w:b/>
          <w:color w:val="auto"/>
          <w:sz w:val="24"/>
          <w:highlight w:val="none"/>
        </w:rPr>
        <w:t>5.4人力资源社会保障行政部门“失信名单”</w:t>
      </w:r>
    </w:p>
    <w:p w14:paraId="4E0CBDB6">
      <w:pPr>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sz w:val="24"/>
          <w:highlight w:val="none"/>
        </w:rPr>
      </w:pPr>
      <w:r>
        <w:rPr>
          <w:rFonts w:hint="eastAsia" w:ascii="宋体" w:hAnsi="宋体" w:cs="宋体"/>
          <w:color w:val="auto"/>
          <w:sz w:val="24"/>
          <w:highlight w:val="none"/>
        </w:rPr>
        <w:t>被人力资源社会保障行政部门列入信用铜陵“失信名单”信用评审不合格，此项以信用铜陵（http://xytl.tl.gov.cn/）“守信失信名单”栏目为准。</w:t>
      </w:r>
    </w:p>
    <w:p w14:paraId="178BC459">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宋体"/>
          <w:b/>
          <w:bCs/>
          <w:color w:val="auto"/>
          <w:sz w:val="24"/>
          <w:highlight w:val="none"/>
        </w:rPr>
      </w:pPr>
      <w:r>
        <w:rPr>
          <w:rFonts w:hint="eastAsia" w:ascii="宋体" w:hAnsi="宋体" w:cs="宋体"/>
          <w:b/>
          <w:bCs/>
          <w:color w:val="auto"/>
          <w:sz w:val="24"/>
          <w:highlight w:val="none"/>
        </w:rPr>
        <w:t>5.5联合体投标及其他情形的处理</w:t>
      </w:r>
    </w:p>
    <w:p w14:paraId="2117FA6D">
      <w:pPr>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sz w:val="24"/>
          <w:highlight w:val="none"/>
        </w:rPr>
      </w:pPr>
      <w:r>
        <w:rPr>
          <w:rFonts w:hint="eastAsia" w:ascii="宋体" w:hAnsi="宋体" w:cs="宋体"/>
          <w:color w:val="auto"/>
          <w:sz w:val="24"/>
          <w:highlight w:val="none"/>
        </w:rPr>
        <w:t>联合体成员单位存在失信被执行人信息、行贿犯罪记录、限制投标（或在本市承揽业务）的行政处罚、住建部门黑名单、拖欠农民工工资失信名单的，视为联合体存在相关情形。</w:t>
      </w:r>
    </w:p>
    <w:p w14:paraId="344DB4F5">
      <w:pPr>
        <w:pStyle w:val="57"/>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hint="default" w:ascii="宋体" w:hAnsi="宋体" w:cs="等线"/>
          <w:b/>
          <w:bCs/>
          <w:color w:val="auto"/>
          <w:sz w:val="24"/>
          <w:szCs w:val="24"/>
          <w:highlight w:val="none"/>
        </w:rPr>
      </w:pPr>
      <w:r>
        <w:rPr>
          <w:rFonts w:ascii="宋体" w:hAnsi="宋体" w:cs="等线"/>
          <w:b/>
          <w:bCs/>
          <w:color w:val="auto"/>
          <w:sz w:val="24"/>
          <w:szCs w:val="24"/>
          <w:highlight w:val="none"/>
        </w:rPr>
        <w:t>六、投标人总得分</w:t>
      </w:r>
    </w:p>
    <w:p w14:paraId="775936F8">
      <w:pPr>
        <w:pStyle w:val="53"/>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sz w:val="24"/>
          <w:szCs w:val="24"/>
          <w:highlight w:val="none"/>
        </w:rPr>
      </w:pPr>
      <w:r>
        <w:rPr>
          <w:rFonts w:hint="eastAsia" w:ascii="宋体" w:hAnsi="宋体" w:cs="宋体"/>
          <w:color w:val="auto"/>
          <w:sz w:val="24"/>
          <w:szCs w:val="24"/>
          <w:highlight w:val="none"/>
        </w:rPr>
        <w:t>投标人的最终总得分=“监理大纲”得分+“企业实力”得分+“</w:t>
      </w:r>
      <w:r>
        <w:rPr>
          <w:rFonts w:hint="eastAsia" w:ascii="宋体" w:hAnsi="宋体" w:cs="宋体"/>
          <w:color w:val="auto"/>
          <w:sz w:val="24"/>
          <w:szCs w:val="24"/>
          <w:highlight w:val="none"/>
          <w:lang w:val="zh-CN"/>
        </w:rPr>
        <w:t>总监实力</w:t>
      </w:r>
      <w:r>
        <w:rPr>
          <w:rFonts w:hint="eastAsia" w:ascii="宋体" w:hAnsi="宋体" w:cs="宋体"/>
          <w:color w:val="auto"/>
          <w:sz w:val="24"/>
          <w:szCs w:val="24"/>
          <w:highlight w:val="none"/>
        </w:rPr>
        <w:t>”得分+“监理服务收费”得分。</w:t>
      </w:r>
    </w:p>
    <w:p w14:paraId="270C1399">
      <w:pPr>
        <w:keepNext w:val="0"/>
        <w:keepLines w:val="0"/>
        <w:pageBreakBefore w:val="0"/>
        <w:kinsoku/>
        <w:wordWrap/>
        <w:overflowPunct/>
        <w:topLinePunct w:val="0"/>
        <w:autoSpaceDE/>
        <w:autoSpaceDN/>
        <w:bidi w:val="0"/>
        <w:adjustRightInd/>
        <w:snapToGrid/>
        <w:spacing w:line="500" w:lineRule="exact"/>
        <w:ind w:firstLine="482" w:firstLineChars="200"/>
        <w:outlineLvl w:val="9"/>
        <w:rPr>
          <w:rFonts w:ascii="宋体" w:hAnsi="宋体" w:cs="等线"/>
          <w:b/>
          <w:bCs/>
          <w:color w:val="auto"/>
          <w:sz w:val="24"/>
          <w:szCs w:val="24"/>
          <w:highlight w:val="none"/>
        </w:rPr>
      </w:pPr>
      <w:r>
        <w:rPr>
          <w:rFonts w:hint="eastAsia" w:ascii="宋体" w:hAnsi="宋体" w:cs="等线"/>
          <w:b/>
          <w:bCs/>
          <w:color w:val="auto"/>
          <w:sz w:val="24"/>
          <w:szCs w:val="24"/>
          <w:highlight w:val="none"/>
        </w:rPr>
        <w:t>七、</w:t>
      </w:r>
      <w:r>
        <w:rPr>
          <w:rFonts w:hint="eastAsia" w:ascii="宋体" w:hAnsi="宋体" w:cs="等线"/>
          <w:b/>
          <w:bCs/>
          <w:color w:val="auto"/>
          <w:kern w:val="0"/>
          <w:sz w:val="24"/>
          <w:szCs w:val="24"/>
          <w:highlight w:val="none"/>
        </w:rPr>
        <w:t>推荐中标候选人</w:t>
      </w:r>
    </w:p>
    <w:p w14:paraId="67FC6D13">
      <w:pPr>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ascii="宋体" w:hAnsi="宋体" w:cs="宋体"/>
          <w:color w:val="auto"/>
          <w:kern w:val="0"/>
          <w:sz w:val="24"/>
          <w:szCs w:val="24"/>
          <w:highlight w:val="none"/>
        </w:rPr>
      </w:pPr>
      <w:r>
        <w:rPr>
          <w:rFonts w:hint="eastAsia" w:ascii="宋体" w:hAnsi="宋体" w:cs="宋体"/>
          <w:color w:val="auto"/>
          <w:kern w:val="0"/>
          <w:sz w:val="24"/>
          <w:szCs w:val="24"/>
          <w:highlight w:val="none"/>
        </w:rPr>
        <w:t>评标委员会将投标人的最终总得分按由高到低的顺序进行排序，推荐</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名中标候选人。</w:t>
      </w:r>
      <w:r>
        <w:rPr>
          <w:rFonts w:hint="eastAsia" w:ascii="宋体" w:hAnsi="宋体" w:cs="仿宋"/>
          <w:color w:val="auto"/>
          <w:sz w:val="24"/>
          <w:szCs w:val="24"/>
          <w:highlight w:val="none"/>
        </w:rPr>
        <w:t>若出现两家（及两家以上）投标单位的总得分相同时，低价者优先；若报价也相同时，由招标人或代理机构在有关部门的监督下现场组织抽签确定排序。</w:t>
      </w:r>
    </w:p>
    <w:p w14:paraId="063DE842">
      <w:pPr>
        <w:pStyle w:val="53"/>
        <w:keepNext w:val="0"/>
        <w:keepLines w:val="0"/>
        <w:pageBreakBefore w:val="0"/>
        <w:kinsoku/>
        <w:wordWrap/>
        <w:overflowPunct/>
        <w:topLinePunct w:val="0"/>
        <w:autoSpaceDE/>
        <w:autoSpaceDN/>
        <w:bidi w:val="0"/>
        <w:adjustRightInd/>
        <w:snapToGrid/>
        <w:spacing w:line="500" w:lineRule="exact"/>
        <w:ind w:firstLine="480" w:firstLineChars="200"/>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中标候选人确定后，在后期异议、投诉调查过程中如发现投标人存在弄虚作假、串通投标等违法违规行为或不符合招标文件实质性要求的，不论其是否为中标候选人，均不对已评审的结果重新计算，是中标候选人的，取消其中标资格。</w:t>
      </w:r>
    </w:p>
    <w:p w14:paraId="26B0511F">
      <w:pPr>
        <w:rPr>
          <w:color w:val="auto"/>
          <w:highlight w:val="none"/>
        </w:rPr>
        <w:sectPr>
          <w:footerReference r:id="rId9" w:type="first"/>
          <w:headerReference r:id="rId7" w:type="default"/>
          <w:footerReference r:id="rId8" w:type="default"/>
          <w:pgSz w:w="11906" w:h="16838"/>
          <w:pgMar w:top="1701" w:right="1361" w:bottom="1701" w:left="1361" w:header="794" w:footer="1134" w:gutter="0"/>
          <w:pgNumType w:fmt="decimal"/>
          <w:cols w:space="720" w:num="1"/>
          <w:titlePg/>
          <w:docGrid w:type="lines" w:linePitch="312" w:charSpace="0"/>
        </w:sectPr>
      </w:pPr>
    </w:p>
    <w:p w14:paraId="7BBB7A8B">
      <w:pPr>
        <w:spacing w:line="360" w:lineRule="auto"/>
        <w:ind w:left="170" w:firstLine="36" w:firstLineChars="15"/>
        <w:rPr>
          <w:rFonts w:ascii="宋体" w:hAnsi="宋体" w:cs="宋体"/>
          <w:color w:val="auto"/>
          <w:sz w:val="24"/>
          <w:szCs w:val="24"/>
          <w:highlight w:val="none"/>
        </w:rPr>
      </w:pPr>
      <w:r>
        <w:rPr>
          <w:rFonts w:hint="eastAsia" w:ascii="宋体" w:hAnsi="宋体" w:cs="宋体"/>
          <w:color w:val="auto"/>
          <w:sz w:val="24"/>
          <w:szCs w:val="24"/>
          <w:highlight w:val="none"/>
        </w:rPr>
        <w:t>附表</w:t>
      </w:r>
    </w:p>
    <w:p w14:paraId="0ADD9A15">
      <w:pPr>
        <w:ind w:left="170" w:firstLine="54" w:firstLineChars="15"/>
        <w:jc w:val="center"/>
        <w:rPr>
          <w:rFonts w:hint="eastAsia" w:ascii="宋体" w:hAnsi="宋体" w:cs="宋体"/>
          <w:b/>
          <w:bCs/>
          <w:color w:val="auto"/>
          <w:sz w:val="32"/>
          <w:highlight w:val="none"/>
        </w:rPr>
      </w:pPr>
      <w:r>
        <w:rPr>
          <w:rFonts w:hint="eastAsia" w:ascii="宋体" w:hAnsi="宋体" w:cs="宋体"/>
          <w:color w:val="auto"/>
          <w:sz w:val="36"/>
          <w:szCs w:val="36"/>
          <w:highlight w:val="none"/>
        </w:rPr>
        <w:t>本工程监理机构人员配备最低要求</w:t>
      </w:r>
    </w:p>
    <w:tbl>
      <w:tblPr>
        <w:tblStyle w:val="25"/>
        <w:tblpPr w:leftFromText="180" w:rightFromText="180" w:vertAnchor="page" w:horzAnchor="margin" w:tblpY="3386"/>
        <w:tblW w:w="13659" w:type="dxa"/>
        <w:tblInd w:w="0" w:type="dxa"/>
        <w:tblBorders>
          <w:top w:val="none" w:color="auto" w:sz="0" w:space="0"/>
          <w:left w:val="single" w:color="auto"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709"/>
        <w:gridCol w:w="2693"/>
        <w:gridCol w:w="2597"/>
        <w:gridCol w:w="3420"/>
        <w:gridCol w:w="2240"/>
      </w:tblGrid>
      <w:tr w14:paraId="7C320F78">
        <w:tblPrEx>
          <w:tblBorders>
            <w:top w:val="none" w:color="auto" w:sz="0" w:space="0"/>
            <w:left w:val="single" w:color="auto"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25" w:hRule="atLeast"/>
        </w:trPr>
        <w:tc>
          <w:tcPr>
            <w:tcW w:w="2709" w:type="dxa"/>
            <w:tcBorders>
              <w:top w:val="single" w:color="000000" w:sz="4" w:space="0"/>
              <w:right w:val="single" w:color="auto" w:sz="4" w:space="0"/>
            </w:tcBorders>
            <w:noWrap w:val="0"/>
            <w:tcMar>
              <w:top w:w="15" w:type="dxa"/>
              <w:left w:w="15" w:type="dxa"/>
              <w:bottom w:w="0" w:type="dxa"/>
              <w:right w:w="15" w:type="dxa"/>
            </w:tcMar>
            <w:vAlign w:val="center"/>
          </w:tcPr>
          <w:p w14:paraId="58001406">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总监理工程师</w:t>
            </w:r>
          </w:p>
        </w:tc>
        <w:tc>
          <w:tcPr>
            <w:tcW w:w="2693" w:type="dxa"/>
            <w:tcBorders>
              <w:top w:val="single" w:color="000000" w:sz="4" w:space="0"/>
              <w:left w:val="single" w:color="auto" w:sz="4" w:space="0"/>
            </w:tcBorders>
            <w:noWrap w:val="0"/>
            <w:vAlign w:val="center"/>
          </w:tcPr>
          <w:p w14:paraId="522BE2C3">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专业监理工程师</w:t>
            </w:r>
          </w:p>
        </w:tc>
        <w:tc>
          <w:tcPr>
            <w:tcW w:w="2597" w:type="dxa"/>
            <w:tcBorders>
              <w:top w:val="single" w:color="000000" w:sz="4" w:space="0"/>
              <w:right w:val="single" w:color="auto" w:sz="4" w:space="0"/>
            </w:tcBorders>
            <w:noWrap w:val="0"/>
            <w:tcMar>
              <w:top w:w="15" w:type="dxa"/>
              <w:left w:w="15" w:type="dxa"/>
              <w:bottom w:w="0" w:type="dxa"/>
              <w:right w:w="15" w:type="dxa"/>
            </w:tcMar>
            <w:vAlign w:val="center"/>
          </w:tcPr>
          <w:p w14:paraId="30EDF8E7">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监理员</w:t>
            </w:r>
          </w:p>
        </w:tc>
        <w:tc>
          <w:tcPr>
            <w:tcW w:w="3420" w:type="dxa"/>
            <w:tcBorders>
              <w:top w:val="single" w:color="000000" w:sz="4" w:space="0"/>
              <w:left w:val="single" w:color="auto" w:sz="4" w:space="0"/>
            </w:tcBorders>
            <w:noWrap w:val="0"/>
            <w:vAlign w:val="center"/>
          </w:tcPr>
          <w:p w14:paraId="06D62EF6">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见证员（可兼任）</w:t>
            </w:r>
          </w:p>
        </w:tc>
        <w:tc>
          <w:tcPr>
            <w:tcW w:w="2240" w:type="dxa"/>
            <w:tcBorders>
              <w:top w:val="single" w:color="000000" w:sz="4" w:space="0"/>
            </w:tcBorders>
            <w:noWrap w:val="0"/>
            <w:tcMar>
              <w:top w:w="15" w:type="dxa"/>
              <w:left w:w="15" w:type="dxa"/>
              <w:bottom w:w="0" w:type="dxa"/>
              <w:right w:w="15" w:type="dxa"/>
            </w:tcMar>
            <w:vAlign w:val="center"/>
          </w:tcPr>
          <w:p w14:paraId="27CC9F33">
            <w:pPr>
              <w:widowControl/>
              <w:jc w:val="center"/>
              <w:rPr>
                <w:rFonts w:hint="eastAsia" w:ascii="宋体" w:hAnsi="宋体" w:cs="宋体"/>
                <w:color w:val="auto"/>
                <w:kern w:val="0"/>
                <w:sz w:val="28"/>
                <w:szCs w:val="28"/>
                <w:highlight w:val="none"/>
                <w:lang w:val="en-US" w:eastAsia="zh-CN"/>
              </w:rPr>
            </w:pPr>
            <w:r>
              <w:rPr>
                <w:rFonts w:hint="eastAsia" w:ascii="宋体" w:hAnsi="宋体" w:cs="宋体"/>
                <w:color w:val="auto"/>
                <w:kern w:val="0"/>
                <w:sz w:val="28"/>
                <w:szCs w:val="28"/>
                <w:highlight w:val="none"/>
                <w:lang w:val="en-US" w:eastAsia="zh-CN"/>
              </w:rPr>
              <w:t>合计</w:t>
            </w:r>
          </w:p>
          <w:p w14:paraId="0D9B97AB">
            <w:pPr>
              <w:widowControl/>
              <w:jc w:val="center"/>
              <w:rPr>
                <w:rFonts w:hint="default"/>
                <w:color w:val="auto"/>
                <w:highlight w:val="none"/>
                <w:lang w:val="en-US" w:eastAsia="zh-CN"/>
              </w:rPr>
            </w:pPr>
            <w:r>
              <w:rPr>
                <w:rFonts w:hint="eastAsia" w:ascii="宋体" w:hAnsi="宋体" w:eastAsia="宋体" w:cs="宋体"/>
                <w:b w:val="0"/>
                <w:bCs w:val="0"/>
                <w:color w:val="auto"/>
                <w:kern w:val="0"/>
                <w:sz w:val="28"/>
                <w:szCs w:val="28"/>
                <w:highlight w:val="none"/>
                <w:lang w:val="en-US" w:eastAsia="zh-CN" w:bidi="ar-SA"/>
              </w:rPr>
              <w:t>（总人次）</w:t>
            </w:r>
          </w:p>
        </w:tc>
      </w:tr>
      <w:tr w14:paraId="2638C91E">
        <w:tblPrEx>
          <w:tblBorders>
            <w:top w:val="none" w:color="auto" w:sz="0" w:space="0"/>
            <w:left w:val="single" w:color="auto"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285" w:hRule="atLeast"/>
        </w:trPr>
        <w:tc>
          <w:tcPr>
            <w:tcW w:w="2709" w:type="dxa"/>
            <w:tcBorders>
              <w:right w:val="single" w:color="auto" w:sz="4" w:space="0"/>
            </w:tcBorders>
            <w:noWrap w:val="0"/>
            <w:tcMar>
              <w:top w:w="15" w:type="dxa"/>
              <w:left w:w="15" w:type="dxa"/>
              <w:bottom w:w="0" w:type="dxa"/>
              <w:right w:w="15" w:type="dxa"/>
            </w:tcMar>
            <w:vAlign w:val="center"/>
          </w:tcPr>
          <w:p w14:paraId="58332529">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2693" w:type="dxa"/>
            <w:tcBorders>
              <w:left w:val="single" w:color="auto" w:sz="4" w:space="0"/>
            </w:tcBorders>
            <w:noWrap w:val="0"/>
            <w:vAlign w:val="center"/>
          </w:tcPr>
          <w:p w14:paraId="48F82575">
            <w:pPr>
              <w:jc w:val="center"/>
              <w:rPr>
                <w:rFonts w:hint="eastAsia" w:ascii="宋体" w:hAnsi="宋体" w:eastAsia="宋体" w:cs="宋体"/>
                <w:color w:val="auto"/>
                <w:kern w:val="0"/>
                <w:sz w:val="28"/>
                <w:szCs w:val="28"/>
                <w:highlight w:val="none"/>
                <w:lang w:eastAsia="zh-CN"/>
              </w:rPr>
            </w:pPr>
            <w:r>
              <w:rPr>
                <w:rFonts w:hint="eastAsia" w:ascii="宋体" w:hAnsi="宋体" w:cs="宋体"/>
                <w:color w:val="auto"/>
                <w:kern w:val="0"/>
                <w:sz w:val="28"/>
                <w:szCs w:val="28"/>
                <w:highlight w:val="none"/>
                <w:lang w:val="en-US" w:eastAsia="zh-CN"/>
              </w:rPr>
              <w:t>2</w:t>
            </w:r>
          </w:p>
        </w:tc>
        <w:tc>
          <w:tcPr>
            <w:tcW w:w="2597" w:type="dxa"/>
            <w:tcBorders>
              <w:right w:val="single" w:color="auto" w:sz="4" w:space="0"/>
            </w:tcBorders>
            <w:noWrap w:val="0"/>
            <w:tcMar>
              <w:top w:w="15" w:type="dxa"/>
              <w:left w:w="15" w:type="dxa"/>
              <w:bottom w:w="0" w:type="dxa"/>
              <w:right w:w="15" w:type="dxa"/>
            </w:tcMar>
            <w:vAlign w:val="center"/>
          </w:tcPr>
          <w:p w14:paraId="573C2C89">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3420" w:type="dxa"/>
            <w:tcBorders>
              <w:left w:val="single" w:color="auto" w:sz="4" w:space="0"/>
            </w:tcBorders>
            <w:noWrap w:val="0"/>
            <w:vAlign w:val="center"/>
          </w:tcPr>
          <w:p w14:paraId="28ECED62">
            <w:pPr>
              <w:widowControl/>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2240" w:type="dxa"/>
            <w:noWrap w:val="0"/>
            <w:tcMar>
              <w:top w:w="15" w:type="dxa"/>
              <w:left w:w="15" w:type="dxa"/>
              <w:bottom w:w="0" w:type="dxa"/>
              <w:right w:w="15" w:type="dxa"/>
            </w:tcMar>
            <w:vAlign w:val="center"/>
          </w:tcPr>
          <w:p w14:paraId="2D04F2F1">
            <w:pPr>
              <w:widowControl/>
              <w:jc w:val="center"/>
              <w:rPr>
                <w:rFonts w:hint="eastAsia" w:ascii="宋体" w:hAnsi="宋体" w:cs="宋体"/>
                <w:color w:val="auto"/>
                <w:kern w:val="0"/>
                <w:sz w:val="28"/>
                <w:szCs w:val="28"/>
                <w:highlight w:val="none"/>
                <w:lang w:val="en-US" w:eastAsia="zh-CN"/>
              </w:rPr>
            </w:pPr>
            <w:r>
              <w:rPr>
                <w:rFonts w:hint="eastAsia" w:ascii="宋体" w:hAnsi="宋体" w:cs="宋体"/>
                <w:color w:val="auto"/>
                <w:kern w:val="0"/>
                <w:sz w:val="28"/>
                <w:szCs w:val="28"/>
                <w:highlight w:val="none"/>
              </w:rPr>
              <w:t>不少于</w:t>
            </w:r>
            <w:r>
              <w:rPr>
                <w:rFonts w:hint="eastAsia" w:ascii="宋体" w:hAnsi="宋体" w:cs="宋体"/>
                <w:color w:val="auto"/>
                <w:kern w:val="0"/>
                <w:sz w:val="28"/>
                <w:szCs w:val="28"/>
                <w:highlight w:val="none"/>
                <w:lang w:val="en-US" w:eastAsia="zh-CN"/>
              </w:rPr>
              <w:t>4人</w:t>
            </w:r>
          </w:p>
        </w:tc>
      </w:tr>
      <w:tr w14:paraId="62167ABD">
        <w:tblPrEx>
          <w:tblBorders>
            <w:top w:val="none" w:color="auto" w:sz="0" w:space="0"/>
            <w:left w:val="single" w:color="auto"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285" w:hRule="atLeast"/>
        </w:trPr>
        <w:tc>
          <w:tcPr>
            <w:tcW w:w="13659" w:type="dxa"/>
            <w:gridSpan w:val="5"/>
            <w:noWrap w:val="0"/>
            <w:tcMar>
              <w:top w:w="15" w:type="dxa"/>
              <w:left w:w="15" w:type="dxa"/>
              <w:bottom w:w="0" w:type="dxa"/>
              <w:right w:w="15" w:type="dxa"/>
            </w:tcMar>
            <w:vAlign w:val="center"/>
          </w:tcPr>
          <w:p w14:paraId="0FAD6ED8">
            <w:pPr>
              <w:widowControl/>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备注：</w:t>
            </w:r>
          </w:p>
          <w:p w14:paraId="29EBD483">
            <w:pPr>
              <w:widowControl/>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1.总监理工程师必须具有房屋建筑工程专业《国家注册监理工程师注册执业证书》。</w:t>
            </w:r>
          </w:p>
          <w:p w14:paraId="2E75C7AF">
            <w:pPr>
              <w:widowControl/>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2.专业监理工程师</w:t>
            </w:r>
            <w:r>
              <w:rPr>
                <w:rFonts w:hint="eastAsia" w:ascii="宋体" w:hAnsi="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val="en-US" w:eastAsia="zh-CN"/>
              </w:rPr>
              <w:t>人，须具有</w:t>
            </w:r>
            <w:r>
              <w:rPr>
                <w:rFonts w:hint="eastAsia" w:ascii="宋体" w:hAnsi="宋体" w:cs="宋体"/>
                <w:b/>
                <w:bCs/>
                <w:color w:val="auto"/>
                <w:sz w:val="28"/>
                <w:szCs w:val="28"/>
                <w:highlight w:val="none"/>
                <w:lang w:val="en-US" w:eastAsia="zh-CN"/>
              </w:rPr>
              <w:t>房屋建筑工程专业1人、机电安装</w:t>
            </w:r>
            <w:r>
              <w:rPr>
                <w:rFonts w:hint="eastAsia" w:ascii="宋体" w:hAnsi="宋体" w:eastAsia="宋体" w:cs="宋体"/>
                <w:b/>
                <w:bCs/>
                <w:color w:val="auto"/>
                <w:sz w:val="28"/>
                <w:szCs w:val="28"/>
                <w:highlight w:val="none"/>
                <w:lang w:val="en-US" w:eastAsia="zh-CN"/>
              </w:rPr>
              <w:t>工程专业</w:t>
            </w:r>
            <w:r>
              <w:rPr>
                <w:rFonts w:hint="eastAsia" w:ascii="宋体" w:hAnsi="宋体" w:cs="宋体"/>
                <w:b/>
                <w:bCs/>
                <w:color w:val="auto"/>
                <w:sz w:val="28"/>
                <w:szCs w:val="28"/>
                <w:highlight w:val="none"/>
                <w:lang w:val="en-US" w:eastAsia="zh-CN"/>
              </w:rPr>
              <w:t>1名，且均需具有有效的</w:t>
            </w:r>
            <w:r>
              <w:rPr>
                <w:rFonts w:hint="eastAsia" w:ascii="宋体" w:hAnsi="宋体" w:eastAsia="宋体" w:cs="宋体"/>
                <w:b/>
                <w:bCs/>
                <w:color w:val="auto"/>
                <w:sz w:val="28"/>
                <w:szCs w:val="28"/>
                <w:highlight w:val="none"/>
                <w:lang w:val="en-US" w:eastAsia="zh-CN"/>
              </w:rPr>
              <w:t>《国家注册监理工程师注册执业证书》</w:t>
            </w:r>
            <w:r>
              <w:rPr>
                <w:rFonts w:hint="eastAsia" w:ascii="宋体" w:hAnsi="宋体" w:cs="宋体"/>
                <w:b/>
                <w:bCs/>
                <w:color w:val="auto"/>
                <w:sz w:val="28"/>
                <w:szCs w:val="28"/>
                <w:highlight w:val="none"/>
                <w:lang w:val="en-US" w:eastAsia="zh-CN"/>
              </w:rPr>
              <w:t>，同一人的执业证书不得重复使用</w:t>
            </w:r>
            <w:r>
              <w:rPr>
                <w:rFonts w:hint="eastAsia" w:ascii="宋体" w:hAnsi="宋体" w:eastAsia="宋体" w:cs="宋体"/>
                <w:b/>
                <w:bCs/>
                <w:color w:val="auto"/>
                <w:sz w:val="28"/>
                <w:szCs w:val="28"/>
                <w:highlight w:val="none"/>
                <w:lang w:val="en-US" w:eastAsia="zh-CN"/>
              </w:rPr>
              <w:t>。</w:t>
            </w:r>
          </w:p>
          <w:p w14:paraId="775EA504">
            <w:pPr>
              <w:widowControl/>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3.监理员1人，须具有有效期内的相关专业监理员证书。</w:t>
            </w:r>
          </w:p>
          <w:p w14:paraId="752F96B7">
            <w:pPr>
              <w:widowControl/>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4.见证人员可由专业监理工程师或监理员兼任，需在人员清单表中明确列出。</w:t>
            </w:r>
          </w:p>
          <w:p w14:paraId="208D8D79">
            <w:pPr>
              <w:widowControl/>
              <w:spacing w:line="360" w:lineRule="auto"/>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5.本工程监理机构人员年龄均不得超过60周岁，须提供中华人民共和国居民身份证。</w:t>
            </w:r>
          </w:p>
        </w:tc>
      </w:tr>
    </w:tbl>
    <w:p w14:paraId="0D4504D3">
      <w:pPr>
        <w:pStyle w:val="2"/>
        <w:rPr>
          <w:color w:val="auto"/>
          <w:highlight w:val="none"/>
        </w:rPr>
      </w:pPr>
    </w:p>
    <w:sectPr>
      <w:pgSz w:w="16838" w:h="11906" w:orient="landscape"/>
      <w:pgMar w:top="1361" w:right="1701" w:bottom="1361" w:left="1701" w:header="794" w:footer="1134"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BE5E">
    <w:pPr>
      <w:pStyle w:val="18"/>
      <w:framePr w:wrap="around" w:vAnchor="text" w:hAnchor="margin" w:xAlign="right" w:y="1"/>
      <w:rPr>
        <w:rStyle w:val="28"/>
      </w:rPr>
    </w:pPr>
    <w:r>
      <w:fldChar w:fldCharType="begin"/>
    </w:r>
    <w:r>
      <w:rPr>
        <w:rStyle w:val="28"/>
      </w:rPr>
      <w:instrText xml:space="preserve">PAGE  </w:instrText>
    </w:r>
    <w:r>
      <w:fldChar w:fldCharType="separate"/>
    </w:r>
    <w:r>
      <w:rPr>
        <w:rStyle w:val="28"/>
      </w:rPr>
      <w:t>20</w:t>
    </w:r>
    <w:r>
      <w:fldChar w:fldCharType="end"/>
    </w:r>
  </w:p>
  <w:p w14:paraId="18CB24DF">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D3D8D">
    <w:pPr>
      <w:pStyle w:val="18"/>
      <w:jc w:val="center"/>
    </w:pPr>
  </w:p>
  <w:p w14:paraId="77A16250">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40184">
    <w:pPr>
      <w:pStyle w:val="1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3640251">
                          <w:pPr>
                            <w:pStyle w:val="18"/>
                            <w:jc w:val="center"/>
                          </w:pPr>
                          <w:r>
                            <w:fldChar w:fldCharType="begin"/>
                          </w:r>
                          <w:r>
                            <w:instrText xml:space="preserve"> PAGE   \* MERGEFORMAT </w:instrText>
                          </w:r>
                          <w:r>
                            <w:fldChar w:fldCharType="separate"/>
                          </w:r>
                          <w:r>
                            <w:rPr>
                              <w:lang w:val="zh-CN"/>
                            </w:rPr>
                            <w:t>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fill on="f" focussize="0,0"/>
              <v:stroke on="f" weight="1.25pt"/>
              <v:imagedata o:title=""/>
              <o:lock v:ext="edit" aspectratio="f"/>
              <v:textbox inset="0mm,0mm,0mm,0mm" style="mso-fit-shape-to-text:t;">
                <w:txbxContent>
                  <w:p w14:paraId="33640251">
                    <w:pPr>
                      <w:pStyle w:val="18"/>
                      <w:jc w:val="center"/>
                    </w:pPr>
                    <w:r>
                      <w:fldChar w:fldCharType="begin"/>
                    </w:r>
                    <w:r>
                      <w:instrText xml:space="preserve"> PAGE   \* MERGEFORMAT </w:instrText>
                    </w:r>
                    <w:r>
                      <w:fldChar w:fldCharType="separate"/>
                    </w:r>
                    <w:r>
                      <w:rPr>
                        <w:lang w:val="zh-CN"/>
                      </w:rPr>
                      <w:t>8</w:t>
                    </w:r>
                    <w:r>
                      <w:fldChar w:fldCharType="end"/>
                    </w:r>
                  </w:p>
                </w:txbxContent>
              </v:textbox>
            </v:shape>
          </w:pict>
        </mc:Fallback>
      </mc:AlternateContent>
    </w:r>
  </w:p>
  <w:p w14:paraId="2467AC9C">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720AF">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F76B8">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BAF76B8">
                    <w:pPr>
                      <w:pStyle w:val="18"/>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E9FE">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8BF58">
                          <w:pPr>
                            <w:pStyle w:val="1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F8BF58">
                    <w:pPr>
                      <w:pStyle w:val="18"/>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4F620">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FD0E2">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94AC8"/>
    <w:multiLevelType w:val="singleLevel"/>
    <w:tmpl w:val="D9E94AC8"/>
    <w:lvl w:ilvl="0" w:tentative="0">
      <w:start w:val="1"/>
      <w:numFmt w:val="decimal"/>
      <w:suff w:val="nothing"/>
      <w:lvlText w:val="%1、"/>
      <w:lvlJc w:val="left"/>
    </w:lvl>
  </w:abstractNum>
  <w:abstractNum w:abstractNumId="1">
    <w:nsid w:val="48FB0161"/>
    <w:multiLevelType w:val="multilevel"/>
    <w:tmpl w:val="48FB016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yYzZjOWE0NzllNDNmY2Y4OTM2MTY3ODVlY2FlOTEifQ=="/>
    <w:docVar w:name="KSO_WPS_MARK_KEY" w:val="d57e92b2-22ab-48a5-aadb-9be11ca64e3a"/>
  </w:docVars>
  <w:rsids>
    <w:rsidRoot w:val="00172A27"/>
    <w:rsid w:val="00001256"/>
    <w:rsid w:val="00002EF4"/>
    <w:rsid w:val="00003013"/>
    <w:rsid w:val="00005F7F"/>
    <w:rsid w:val="00006E99"/>
    <w:rsid w:val="000076E9"/>
    <w:rsid w:val="00007EA8"/>
    <w:rsid w:val="00007F4A"/>
    <w:rsid w:val="00010F13"/>
    <w:rsid w:val="00012D1A"/>
    <w:rsid w:val="000135AB"/>
    <w:rsid w:val="000136D8"/>
    <w:rsid w:val="00013C99"/>
    <w:rsid w:val="000145ED"/>
    <w:rsid w:val="00021798"/>
    <w:rsid w:val="0002510F"/>
    <w:rsid w:val="00026F84"/>
    <w:rsid w:val="000272DE"/>
    <w:rsid w:val="00031D28"/>
    <w:rsid w:val="0003473C"/>
    <w:rsid w:val="00034FE0"/>
    <w:rsid w:val="0003741E"/>
    <w:rsid w:val="00037D2E"/>
    <w:rsid w:val="00040555"/>
    <w:rsid w:val="000420D2"/>
    <w:rsid w:val="000446F2"/>
    <w:rsid w:val="000457A2"/>
    <w:rsid w:val="000471D3"/>
    <w:rsid w:val="000478AE"/>
    <w:rsid w:val="00050244"/>
    <w:rsid w:val="00050291"/>
    <w:rsid w:val="000516FA"/>
    <w:rsid w:val="00051FE8"/>
    <w:rsid w:val="00052224"/>
    <w:rsid w:val="00052285"/>
    <w:rsid w:val="000535DA"/>
    <w:rsid w:val="00053933"/>
    <w:rsid w:val="000539F9"/>
    <w:rsid w:val="0005408F"/>
    <w:rsid w:val="00054382"/>
    <w:rsid w:val="00055F1B"/>
    <w:rsid w:val="00060AC7"/>
    <w:rsid w:val="00060FDF"/>
    <w:rsid w:val="0006164F"/>
    <w:rsid w:val="00062EF4"/>
    <w:rsid w:val="0006400F"/>
    <w:rsid w:val="000654F5"/>
    <w:rsid w:val="00065577"/>
    <w:rsid w:val="00066103"/>
    <w:rsid w:val="000664E2"/>
    <w:rsid w:val="00066D55"/>
    <w:rsid w:val="00066EA2"/>
    <w:rsid w:val="00067B4D"/>
    <w:rsid w:val="00070DFC"/>
    <w:rsid w:val="00071A65"/>
    <w:rsid w:val="0007301D"/>
    <w:rsid w:val="000730CD"/>
    <w:rsid w:val="000743B4"/>
    <w:rsid w:val="000751C8"/>
    <w:rsid w:val="00075EBE"/>
    <w:rsid w:val="00076D73"/>
    <w:rsid w:val="000802BA"/>
    <w:rsid w:val="00080FC8"/>
    <w:rsid w:val="00081B30"/>
    <w:rsid w:val="000829FB"/>
    <w:rsid w:val="000834ED"/>
    <w:rsid w:val="00083884"/>
    <w:rsid w:val="00083EC1"/>
    <w:rsid w:val="00083ED6"/>
    <w:rsid w:val="00086EA4"/>
    <w:rsid w:val="00086F9A"/>
    <w:rsid w:val="000902FF"/>
    <w:rsid w:val="000905C6"/>
    <w:rsid w:val="00092509"/>
    <w:rsid w:val="000940AB"/>
    <w:rsid w:val="00094842"/>
    <w:rsid w:val="00095E11"/>
    <w:rsid w:val="000A018F"/>
    <w:rsid w:val="000A025A"/>
    <w:rsid w:val="000A3B74"/>
    <w:rsid w:val="000A43C6"/>
    <w:rsid w:val="000A4BAF"/>
    <w:rsid w:val="000A5F4A"/>
    <w:rsid w:val="000A66D6"/>
    <w:rsid w:val="000A72F8"/>
    <w:rsid w:val="000A7EE7"/>
    <w:rsid w:val="000B40B5"/>
    <w:rsid w:val="000B54F3"/>
    <w:rsid w:val="000B5797"/>
    <w:rsid w:val="000B6747"/>
    <w:rsid w:val="000B6840"/>
    <w:rsid w:val="000B692C"/>
    <w:rsid w:val="000C0EA5"/>
    <w:rsid w:val="000C0F9F"/>
    <w:rsid w:val="000C10FD"/>
    <w:rsid w:val="000C1292"/>
    <w:rsid w:val="000C2B51"/>
    <w:rsid w:val="000C2F03"/>
    <w:rsid w:val="000C7DB8"/>
    <w:rsid w:val="000D0951"/>
    <w:rsid w:val="000D20C2"/>
    <w:rsid w:val="000D3388"/>
    <w:rsid w:val="000D508C"/>
    <w:rsid w:val="000D618F"/>
    <w:rsid w:val="000E3E92"/>
    <w:rsid w:val="000F07A9"/>
    <w:rsid w:val="000F10C2"/>
    <w:rsid w:val="000F131F"/>
    <w:rsid w:val="000F1D9C"/>
    <w:rsid w:val="000F21CF"/>
    <w:rsid w:val="000F6FFD"/>
    <w:rsid w:val="001000A7"/>
    <w:rsid w:val="00102C99"/>
    <w:rsid w:val="0010381E"/>
    <w:rsid w:val="00103847"/>
    <w:rsid w:val="00103C90"/>
    <w:rsid w:val="00106926"/>
    <w:rsid w:val="00106E9A"/>
    <w:rsid w:val="0011054F"/>
    <w:rsid w:val="0011151A"/>
    <w:rsid w:val="0011268F"/>
    <w:rsid w:val="00114367"/>
    <w:rsid w:val="001157D3"/>
    <w:rsid w:val="00116C40"/>
    <w:rsid w:val="00120004"/>
    <w:rsid w:val="00120863"/>
    <w:rsid w:val="001235D7"/>
    <w:rsid w:val="001243AA"/>
    <w:rsid w:val="0012472C"/>
    <w:rsid w:val="001251BC"/>
    <w:rsid w:val="00131604"/>
    <w:rsid w:val="0014362B"/>
    <w:rsid w:val="00145B55"/>
    <w:rsid w:val="001460B4"/>
    <w:rsid w:val="00150CE7"/>
    <w:rsid w:val="00150DD6"/>
    <w:rsid w:val="00151991"/>
    <w:rsid w:val="00152C7A"/>
    <w:rsid w:val="001547B4"/>
    <w:rsid w:val="00155440"/>
    <w:rsid w:val="00157163"/>
    <w:rsid w:val="00157B7A"/>
    <w:rsid w:val="001601F5"/>
    <w:rsid w:val="00162125"/>
    <w:rsid w:val="0016321E"/>
    <w:rsid w:val="00164734"/>
    <w:rsid w:val="001705BB"/>
    <w:rsid w:val="00170A1A"/>
    <w:rsid w:val="00170F0F"/>
    <w:rsid w:val="00171674"/>
    <w:rsid w:val="00172A27"/>
    <w:rsid w:val="00172B84"/>
    <w:rsid w:val="001763E1"/>
    <w:rsid w:val="0018350E"/>
    <w:rsid w:val="00184D9B"/>
    <w:rsid w:val="00185873"/>
    <w:rsid w:val="00187173"/>
    <w:rsid w:val="0019470C"/>
    <w:rsid w:val="00196FC7"/>
    <w:rsid w:val="001A0FBE"/>
    <w:rsid w:val="001A111B"/>
    <w:rsid w:val="001A1888"/>
    <w:rsid w:val="001A1A6B"/>
    <w:rsid w:val="001A3112"/>
    <w:rsid w:val="001A3A74"/>
    <w:rsid w:val="001A3F30"/>
    <w:rsid w:val="001A4032"/>
    <w:rsid w:val="001A4B96"/>
    <w:rsid w:val="001A60CB"/>
    <w:rsid w:val="001A65C6"/>
    <w:rsid w:val="001B02FE"/>
    <w:rsid w:val="001B26A6"/>
    <w:rsid w:val="001D0BB9"/>
    <w:rsid w:val="001D250C"/>
    <w:rsid w:val="001D36B3"/>
    <w:rsid w:val="001D47D2"/>
    <w:rsid w:val="001D489C"/>
    <w:rsid w:val="001D7FCC"/>
    <w:rsid w:val="001E0665"/>
    <w:rsid w:val="001E091C"/>
    <w:rsid w:val="001E278D"/>
    <w:rsid w:val="001E4A4E"/>
    <w:rsid w:val="001E58AB"/>
    <w:rsid w:val="001F01D0"/>
    <w:rsid w:val="001F028B"/>
    <w:rsid w:val="001F2706"/>
    <w:rsid w:val="001F2EE0"/>
    <w:rsid w:val="001F4B6B"/>
    <w:rsid w:val="001F4C65"/>
    <w:rsid w:val="001F6158"/>
    <w:rsid w:val="001F644A"/>
    <w:rsid w:val="00200AB5"/>
    <w:rsid w:val="00203192"/>
    <w:rsid w:val="00210205"/>
    <w:rsid w:val="002104F4"/>
    <w:rsid w:val="00210D03"/>
    <w:rsid w:val="00211883"/>
    <w:rsid w:val="00216BA2"/>
    <w:rsid w:val="0021798E"/>
    <w:rsid w:val="00217C50"/>
    <w:rsid w:val="00222241"/>
    <w:rsid w:val="002232BF"/>
    <w:rsid w:val="00223EB5"/>
    <w:rsid w:val="0022441C"/>
    <w:rsid w:val="002256F3"/>
    <w:rsid w:val="00225EE0"/>
    <w:rsid w:val="00226DB3"/>
    <w:rsid w:val="00231D5C"/>
    <w:rsid w:val="00233764"/>
    <w:rsid w:val="00240B2E"/>
    <w:rsid w:val="00240DE8"/>
    <w:rsid w:val="00240F48"/>
    <w:rsid w:val="00243ED5"/>
    <w:rsid w:val="00244222"/>
    <w:rsid w:val="00250071"/>
    <w:rsid w:val="00250652"/>
    <w:rsid w:val="002509D5"/>
    <w:rsid w:val="00254F27"/>
    <w:rsid w:val="00255A0F"/>
    <w:rsid w:val="00256300"/>
    <w:rsid w:val="0025688C"/>
    <w:rsid w:val="00256C04"/>
    <w:rsid w:val="00260582"/>
    <w:rsid w:val="002618C5"/>
    <w:rsid w:val="0026397C"/>
    <w:rsid w:val="00266D60"/>
    <w:rsid w:val="00270D91"/>
    <w:rsid w:val="00272137"/>
    <w:rsid w:val="0027234F"/>
    <w:rsid w:val="00272A03"/>
    <w:rsid w:val="00273559"/>
    <w:rsid w:val="00274228"/>
    <w:rsid w:val="002757A7"/>
    <w:rsid w:val="00275ED2"/>
    <w:rsid w:val="00276BD1"/>
    <w:rsid w:val="00276F31"/>
    <w:rsid w:val="00283AA7"/>
    <w:rsid w:val="002849A1"/>
    <w:rsid w:val="00284DD5"/>
    <w:rsid w:val="002870DE"/>
    <w:rsid w:val="002874B3"/>
    <w:rsid w:val="002904BC"/>
    <w:rsid w:val="002938AD"/>
    <w:rsid w:val="00293D57"/>
    <w:rsid w:val="00295716"/>
    <w:rsid w:val="002A3309"/>
    <w:rsid w:val="002A54DF"/>
    <w:rsid w:val="002A5A9B"/>
    <w:rsid w:val="002B16DB"/>
    <w:rsid w:val="002B1E72"/>
    <w:rsid w:val="002B3F79"/>
    <w:rsid w:val="002B5BC7"/>
    <w:rsid w:val="002B6D2B"/>
    <w:rsid w:val="002B7DD2"/>
    <w:rsid w:val="002C2C72"/>
    <w:rsid w:val="002C330C"/>
    <w:rsid w:val="002C50A2"/>
    <w:rsid w:val="002D00BD"/>
    <w:rsid w:val="002D08D6"/>
    <w:rsid w:val="002D28D1"/>
    <w:rsid w:val="002D2927"/>
    <w:rsid w:val="002D50BC"/>
    <w:rsid w:val="002D55B3"/>
    <w:rsid w:val="002D742B"/>
    <w:rsid w:val="002D7608"/>
    <w:rsid w:val="002E0783"/>
    <w:rsid w:val="002E3F39"/>
    <w:rsid w:val="002E613E"/>
    <w:rsid w:val="002F0FE2"/>
    <w:rsid w:val="002F3F32"/>
    <w:rsid w:val="002F4412"/>
    <w:rsid w:val="002F49E6"/>
    <w:rsid w:val="003001BF"/>
    <w:rsid w:val="003009F5"/>
    <w:rsid w:val="003024B8"/>
    <w:rsid w:val="003026CE"/>
    <w:rsid w:val="00303C44"/>
    <w:rsid w:val="00306D34"/>
    <w:rsid w:val="00307A5D"/>
    <w:rsid w:val="003104E7"/>
    <w:rsid w:val="00312615"/>
    <w:rsid w:val="00313ED2"/>
    <w:rsid w:val="00314049"/>
    <w:rsid w:val="003153D3"/>
    <w:rsid w:val="00316378"/>
    <w:rsid w:val="00316BFC"/>
    <w:rsid w:val="003213F1"/>
    <w:rsid w:val="003213F3"/>
    <w:rsid w:val="0032269F"/>
    <w:rsid w:val="0032275F"/>
    <w:rsid w:val="00322F00"/>
    <w:rsid w:val="00324023"/>
    <w:rsid w:val="003258FF"/>
    <w:rsid w:val="00326ABC"/>
    <w:rsid w:val="0033063C"/>
    <w:rsid w:val="0033154F"/>
    <w:rsid w:val="00331BEB"/>
    <w:rsid w:val="0033267F"/>
    <w:rsid w:val="0033678A"/>
    <w:rsid w:val="00336D6A"/>
    <w:rsid w:val="003445E9"/>
    <w:rsid w:val="00344CEE"/>
    <w:rsid w:val="0034511D"/>
    <w:rsid w:val="00346D79"/>
    <w:rsid w:val="00347850"/>
    <w:rsid w:val="003503A8"/>
    <w:rsid w:val="00353936"/>
    <w:rsid w:val="00357AE5"/>
    <w:rsid w:val="00357C2A"/>
    <w:rsid w:val="00363B4B"/>
    <w:rsid w:val="00364882"/>
    <w:rsid w:val="003665FF"/>
    <w:rsid w:val="00370915"/>
    <w:rsid w:val="00370C07"/>
    <w:rsid w:val="00372F5C"/>
    <w:rsid w:val="0037434A"/>
    <w:rsid w:val="0037655F"/>
    <w:rsid w:val="00377317"/>
    <w:rsid w:val="003806AF"/>
    <w:rsid w:val="00381CC9"/>
    <w:rsid w:val="00386E06"/>
    <w:rsid w:val="00387728"/>
    <w:rsid w:val="003877CC"/>
    <w:rsid w:val="003906AB"/>
    <w:rsid w:val="00392974"/>
    <w:rsid w:val="00393116"/>
    <w:rsid w:val="0039470D"/>
    <w:rsid w:val="003A04D3"/>
    <w:rsid w:val="003A1CE6"/>
    <w:rsid w:val="003A525A"/>
    <w:rsid w:val="003B2635"/>
    <w:rsid w:val="003B2C9F"/>
    <w:rsid w:val="003B3508"/>
    <w:rsid w:val="003B4596"/>
    <w:rsid w:val="003B6477"/>
    <w:rsid w:val="003B79BC"/>
    <w:rsid w:val="003C10A5"/>
    <w:rsid w:val="003C19A6"/>
    <w:rsid w:val="003D4759"/>
    <w:rsid w:val="003D47C5"/>
    <w:rsid w:val="003D50D3"/>
    <w:rsid w:val="003D6402"/>
    <w:rsid w:val="003D730F"/>
    <w:rsid w:val="003D7DC7"/>
    <w:rsid w:val="003E3C54"/>
    <w:rsid w:val="003E4FED"/>
    <w:rsid w:val="003F0848"/>
    <w:rsid w:val="003F09ED"/>
    <w:rsid w:val="003F18BC"/>
    <w:rsid w:val="003F4288"/>
    <w:rsid w:val="00400C06"/>
    <w:rsid w:val="00401297"/>
    <w:rsid w:val="00401D04"/>
    <w:rsid w:val="004031B0"/>
    <w:rsid w:val="00404742"/>
    <w:rsid w:val="0040660B"/>
    <w:rsid w:val="004071D8"/>
    <w:rsid w:val="004114E5"/>
    <w:rsid w:val="004116AF"/>
    <w:rsid w:val="004116FD"/>
    <w:rsid w:val="00412478"/>
    <w:rsid w:val="00412D3D"/>
    <w:rsid w:val="00412D8F"/>
    <w:rsid w:val="004131A1"/>
    <w:rsid w:val="004147F2"/>
    <w:rsid w:val="0041673E"/>
    <w:rsid w:val="00416AB3"/>
    <w:rsid w:val="00417151"/>
    <w:rsid w:val="00420B22"/>
    <w:rsid w:val="00421585"/>
    <w:rsid w:val="00421C66"/>
    <w:rsid w:val="00422A5C"/>
    <w:rsid w:val="004250F6"/>
    <w:rsid w:val="004260E9"/>
    <w:rsid w:val="0042682D"/>
    <w:rsid w:val="0043201A"/>
    <w:rsid w:val="0043536B"/>
    <w:rsid w:val="00436F06"/>
    <w:rsid w:val="00441D37"/>
    <w:rsid w:val="00442E9D"/>
    <w:rsid w:val="004441B4"/>
    <w:rsid w:val="00445A35"/>
    <w:rsid w:val="0044626A"/>
    <w:rsid w:val="00446567"/>
    <w:rsid w:val="004473BC"/>
    <w:rsid w:val="00450C20"/>
    <w:rsid w:val="00452B79"/>
    <w:rsid w:val="00453BFA"/>
    <w:rsid w:val="00465C22"/>
    <w:rsid w:val="004666A4"/>
    <w:rsid w:val="004672B0"/>
    <w:rsid w:val="0046789B"/>
    <w:rsid w:val="00474F1F"/>
    <w:rsid w:val="004759A4"/>
    <w:rsid w:val="00477AC0"/>
    <w:rsid w:val="00480D47"/>
    <w:rsid w:val="004814B1"/>
    <w:rsid w:val="00481520"/>
    <w:rsid w:val="004833EB"/>
    <w:rsid w:val="00484A33"/>
    <w:rsid w:val="00484D3E"/>
    <w:rsid w:val="0048529E"/>
    <w:rsid w:val="004873F3"/>
    <w:rsid w:val="00487F05"/>
    <w:rsid w:val="00487FE7"/>
    <w:rsid w:val="004901D0"/>
    <w:rsid w:val="0049084A"/>
    <w:rsid w:val="00490D58"/>
    <w:rsid w:val="004921B6"/>
    <w:rsid w:val="00494B63"/>
    <w:rsid w:val="00494D1D"/>
    <w:rsid w:val="004965D3"/>
    <w:rsid w:val="004971FD"/>
    <w:rsid w:val="004A1378"/>
    <w:rsid w:val="004A5564"/>
    <w:rsid w:val="004A5C82"/>
    <w:rsid w:val="004A5E21"/>
    <w:rsid w:val="004A7929"/>
    <w:rsid w:val="004B2281"/>
    <w:rsid w:val="004B23D1"/>
    <w:rsid w:val="004B2E5B"/>
    <w:rsid w:val="004B48D8"/>
    <w:rsid w:val="004B4C8A"/>
    <w:rsid w:val="004B53A4"/>
    <w:rsid w:val="004B5ACD"/>
    <w:rsid w:val="004B6D2E"/>
    <w:rsid w:val="004B73B2"/>
    <w:rsid w:val="004B7533"/>
    <w:rsid w:val="004C0B7E"/>
    <w:rsid w:val="004C3794"/>
    <w:rsid w:val="004C3F5C"/>
    <w:rsid w:val="004C7AE3"/>
    <w:rsid w:val="004D16AA"/>
    <w:rsid w:val="004D1DDA"/>
    <w:rsid w:val="004D2FD0"/>
    <w:rsid w:val="004D7398"/>
    <w:rsid w:val="004E0C38"/>
    <w:rsid w:val="004E35A1"/>
    <w:rsid w:val="004E4957"/>
    <w:rsid w:val="004E5B7B"/>
    <w:rsid w:val="004F1906"/>
    <w:rsid w:val="004F1F3D"/>
    <w:rsid w:val="004F2107"/>
    <w:rsid w:val="004F2C10"/>
    <w:rsid w:val="004F40EA"/>
    <w:rsid w:val="004F5BEA"/>
    <w:rsid w:val="004F6B86"/>
    <w:rsid w:val="004F7C23"/>
    <w:rsid w:val="00500EB9"/>
    <w:rsid w:val="0050127F"/>
    <w:rsid w:val="0050135B"/>
    <w:rsid w:val="00501781"/>
    <w:rsid w:val="005070F6"/>
    <w:rsid w:val="005119CE"/>
    <w:rsid w:val="0051436C"/>
    <w:rsid w:val="00514D3A"/>
    <w:rsid w:val="00520BE8"/>
    <w:rsid w:val="00521BA6"/>
    <w:rsid w:val="00521EBE"/>
    <w:rsid w:val="0052237B"/>
    <w:rsid w:val="00524635"/>
    <w:rsid w:val="005254F5"/>
    <w:rsid w:val="00525792"/>
    <w:rsid w:val="00525FAB"/>
    <w:rsid w:val="00526117"/>
    <w:rsid w:val="00530F1E"/>
    <w:rsid w:val="0053111A"/>
    <w:rsid w:val="005326FC"/>
    <w:rsid w:val="00534B49"/>
    <w:rsid w:val="00534CFA"/>
    <w:rsid w:val="00534DC4"/>
    <w:rsid w:val="0053549F"/>
    <w:rsid w:val="005366B0"/>
    <w:rsid w:val="005378C9"/>
    <w:rsid w:val="00542D6D"/>
    <w:rsid w:val="0054700E"/>
    <w:rsid w:val="0054722A"/>
    <w:rsid w:val="00547971"/>
    <w:rsid w:val="00547F95"/>
    <w:rsid w:val="00551ECE"/>
    <w:rsid w:val="0055241A"/>
    <w:rsid w:val="005624D1"/>
    <w:rsid w:val="005649DD"/>
    <w:rsid w:val="005652F0"/>
    <w:rsid w:val="00566BA4"/>
    <w:rsid w:val="005731F1"/>
    <w:rsid w:val="005753CD"/>
    <w:rsid w:val="005831D6"/>
    <w:rsid w:val="0058414D"/>
    <w:rsid w:val="005853D2"/>
    <w:rsid w:val="005874E3"/>
    <w:rsid w:val="00587C82"/>
    <w:rsid w:val="00592EFC"/>
    <w:rsid w:val="00594CC3"/>
    <w:rsid w:val="005965B0"/>
    <w:rsid w:val="005A07C3"/>
    <w:rsid w:val="005A1AF4"/>
    <w:rsid w:val="005A2CFD"/>
    <w:rsid w:val="005A45D8"/>
    <w:rsid w:val="005A5B65"/>
    <w:rsid w:val="005B30A9"/>
    <w:rsid w:val="005B3551"/>
    <w:rsid w:val="005B3A32"/>
    <w:rsid w:val="005B4F25"/>
    <w:rsid w:val="005B639F"/>
    <w:rsid w:val="005B6F20"/>
    <w:rsid w:val="005C0626"/>
    <w:rsid w:val="005C33A9"/>
    <w:rsid w:val="005C409A"/>
    <w:rsid w:val="005C5110"/>
    <w:rsid w:val="005C5946"/>
    <w:rsid w:val="005C59E1"/>
    <w:rsid w:val="005C70DE"/>
    <w:rsid w:val="005D150E"/>
    <w:rsid w:val="005D26BA"/>
    <w:rsid w:val="005D2F44"/>
    <w:rsid w:val="005D3C3B"/>
    <w:rsid w:val="005D5943"/>
    <w:rsid w:val="005E3EAC"/>
    <w:rsid w:val="005E43C3"/>
    <w:rsid w:val="005E5433"/>
    <w:rsid w:val="005E58D5"/>
    <w:rsid w:val="005E774C"/>
    <w:rsid w:val="005F19BA"/>
    <w:rsid w:val="005F389F"/>
    <w:rsid w:val="005F3A17"/>
    <w:rsid w:val="005F41C9"/>
    <w:rsid w:val="005F61BE"/>
    <w:rsid w:val="005F62DF"/>
    <w:rsid w:val="005F6D7E"/>
    <w:rsid w:val="006007C6"/>
    <w:rsid w:val="0060382D"/>
    <w:rsid w:val="00605350"/>
    <w:rsid w:val="006055D0"/>
    <w:rsid w:val="0060741C"/>
    <w:rsid w:val="0060754C"/>
    <w:rsid w:val="00607D0B"/>
    <w:rsid w:val="00607D5D"/>
    <w:rsid w:val="0061022A"/>
    <w:rsid w:val="0061151D"/>
    <w:rsid w:val="0061194E"/>
    <w:rsid w:val="0061466D"/>
    <w:rsid w:val="006178DE"/>
    <w:rsid w:val="00620268"/>
    <w:rsid w:val="00626D0E"/>
    <w:rsid w:val="00634567"/>
    <w:rsid w:val="00635B8D"/>
    <w:rsid w:val="00640356"/>
    <w:rsid w:val="006428BC"/>
    <w:rsid w:val="006430CE"/>
    <w:rsid w:val="006464FF"/>
    <w:rsid w:val="00646717"/>
    <w:rsid w:val="00650E78"/>
    <w:rsid w:val="00652B2C"/>
    <w:rsid w:val="00652F17"/>
    <w:rsid w:val="00653BE5"/>
    <w:rsid w:val="00653E9B"/>
    <w:rsid w:val="00655C6F"/>
    <w:rsid w:val="00656FDC"/>
    <w:rsid w:val="006578DF"/>
    <w:rsid w:val="006604EC"/>
    <w:rsid w:val="00661989"/>
    <w:rsid w:val="006621FA"/>
    <w:rsid w:val="00665400"/>
    <w:rsid w:val="006661A0"/>
    <w:rsid w:val="006677DE"/>
    <w:rsid w:val="00671852"/>
    <w:rsid w:val="00677805"/>
    <w:rsid w:val="006802C3"/>
    <w:rsid w:val="00682362"/>
    <w:rsid w:val="00685078"/>
    <w:rsid w:val="00686809"/>
    <w:rsid w:val="00690168"/>
    <w:rsid w:val="00691848"/>
    <w:rsid w:val="00692FD1"/>
    <w:rsid w:val="0069331C"/>
    <w:rsid w:val="00694780"/>
    <w:rsid w:val="00697532"/>
    <w:rsid w:val="006A12C7"/>
    <w:rsid w:val="006A2C3E"/>
    <w:rsid w:val="006A3BA2"/>
    <w:rsid w:val="006A7232"/>
    <w:rsid w:val="006A72FD"/>
    <w:rsid w:val="006A7E07"/>
    <w:rsid w:val="006B023B"/>
    <w:rsid w:val="006B06A8"/>
    <w:rsid w:val="006B1417"/>
    <w:rsid w:val="006B18BC"/>
    <w:rsid w:val="006B2BAE"/>
    <w:rsid w:val="006B3ECE"/>
    <w:rsid w:val="006B7AF7"/>
    <w:rsid w:val="006C1CFD"/>
    <w:rsid w:val="006C2327"/>
    <w:rsid w:val="006C3C84"/>
    <w:rsid w:val="006C4595"/>
    <w:rsid w:val="006C612B"/>
    <w:rsid w:val="006C6828"/>
    <w:rsid w:val="006D03BC"/>
    <w:rsid w:val="006D49AB"/>
    <w:rsid w:val="006D4E63"/>
    <w:rsid w:val="006D50CD"/>
    <w:rsid w:val="006D5CF3"/>
    <w:rsid w:val="006D6C6D"/>
    <w:rsid w:val="006D7E5B"/>
    <w:rsid w:val="006E0865"/>
    <w:rsid w:val="006E42D9"/>
    <w:rsid w:val="006E53CE"/>
    <w:rsid w:val="006E5C8F"/>
    <w:rsid w:val="006F0E03"/>
    <w:rsid w:val="006F1115"/>
    <w:rsid w:val="006F377C"/>
    <w:rsid w:val="006F4399"/>
    <w:rsid w:val="006F69D9"/>
    <w:rsid w:val="006F7620"/>
    <w:rsid w:val="006F7CCE"/>
    <w:rsid w:val="00701827"/>
    <w:rsid w:val="00701E16"/>
    <w:rsid w:val="007030DB"/>
    <w:rsid w:val="00703A24"/>
    <w:rsid w:val="00704C5F"/>
    <w:rsid w:val="0070722B"/>
    <w:rsid w:val="00707627"/>
    <w:rsid w:val="00710600"/>
    <w:rsid w:val="00712860"/>
    <w:rsid w:val="00712B38"/>
    <w:rsid w:val="00713093"/>
    <w:rsid w:val="00713854"/>
    <w:rsid w:val="00713EAC"/>
    <w:rsid w:val="0071462B"/>
    <w:rsid w:val="00714B82"/>
    <w:rsid w:val="0071758A"/>
    <w:rsid w:val="00722284"/>
    <w:rsid w:val="00724277"/>
    <w:rsid w:val="0072439E"/>
    <w:rsid w:val="00725B52"/>
    <w:rsid w:val="00725E35"/>
    <w:rsid w:val="007278B5"/>
    <w:rsid w:val="0073062E"/>
    <w:rsid w:val="00732A04"/>
    <w:rsid w:val="007414A0"/>
    <w:rsid w:val="00741D7B"/>
    <w:rsid w:val="00741F92"/>
    <w:rsid w:val="007423F0"/>
    <w:rsid w:val="007438FB"/>
    <w:rsid w:val="00743DD4"/>
    <w:rsid w:val="007452F3"/>
    <w:rsid w:val="007463F2"/>
    <w:rsid w:val="00746A91"/>
    <w:rsid w:val="00746FC1"/>
    <w:rsid w:val="00750A0F"/>
    <w:rsid w:val="0075285F"/>
    <w:rsid w:val="00754D55"/>
    <w:rsid w:val="00757208"/>
    <w:rsid w:val="0076224C"/>
    <w:rsid w:val="007628BB"/>
    <w:rsid w:val="00762E95"/>
    <w:rsid w:val="0076627B"/>
    <w:rsid w:val="00766FBE"/>
    <w:rsid w:val="00767145"/>
    <w:rsid w:val="00767504"/>
    <w:rsid w:val="00770189"/>
    <w:rsid w:val="007711DD"/>
    <w:rsid w:val="007716F3"/>
    <w:rsid w:val="007717C2"/>
    <w:rsid w:val="00772045"/>
    <w:rsid w:val="00776903"/>
    <w:rsid w:val="00777F45"/>
    <w:rsid w:val="007815AD"/>
    <w:rsid w:val="007823D5"/>
    <w:rsid w:val="00782DA8"/>
    <w:rsid w:val="00783366"/>
    <w:rsid w:val="007849BA"/>
    <w:rsid w:val="00784A3F"/>
    <w:rsid w:val="00785C80"/>
    <w:rsid w:val="007879A0"/>
    <w:rsid w:val="00790B2C"/>
    <w:rsid w:val="00790C5C"/>
    <w:rsid w:val="007913FC"/>
    <w:rsid w:val="0079149B"/>
    <w:rsid w:val="00791C75"/>
    <w:rsid w:val="00792C84"/>
    <w:rsid w:val="007A0E9C"/>
    <w:rsid w:val="007B4448"/>
    <w:rsid w:val="007B5CCE"/>
    <w:rsid w:val="007B77EF"/>
    <w:rsid w:val="007C23EE"/>
    <w:rsid w:val="007C2A9F"/>
    <w:rsid w:val="007C457E"/>
    <w:rsid w:val="007C4BE0"/>
    <w:rsid w:val="007C5FC4"/>
    <w:rsid w:val="007C66E5"/>
    <w:rsid w:val="007C7576"/>
    <w:rsid w:val="007D4A2D"/>
    <w:rsid w:val="007E0518"/>
    <w:rsid w:val="007E0647"/>
    <w:rsid w:val="007E4554"/>
    <w:rsid w:val="007E4A2E"/>
    <w:rsid w:val="007E4F75"/>
    <w:rsid w:val="007F01EB"/>
    <w:rsid w:val="007F13D5"/>
    <w:rsid w:val="007F18C2"/>
    <w:rsid w:val="007F198A"/>
    <w:rsid w:val="007F1C97"/>
    <w:rsid w:val="007F3528"/>
    <w:rsid w:val="007F39C1"/>
    <w:rsid w:val="007F424D"/>
    <w:rsid w:val="007F5C4C"/>
    <w:rsid w:val="007F7119"/>
    <w:rsid w:val="007F7C33"/>
    <w:rsid w:val="00803CE3"/>
    <w:rsid w:val="00805324"/>
    <w:rsid w:val="00806B20"/>
    <w:rsid w:val="00807D43"/>
    <w:rsid w:val="0081555E"/>
    <w:rsid w:val="00816F1D"/>
    <w:rsid w:val="0082011A"/>
    <w:rsid w:val="00824CC1"/>
    <w:rsid w:val="008252BB"/>
    <w:rsid w:val="00826A22"/>
    <w:rsid w:val="00826AEA"/>
    <w:rsid w:val="00831ACC"/>
    <w:rsid w:val="0083376E"/>
    <w:rsid w:val="008337D8"/>
    <w:rsid w:val="008362ED"/>
    <w:rsid w:val="00837554"/>
    <w:rsid w:val="008403F9"/>
    <w:rsid w:val="00842EFB"/>
    <w:rsid w:val="00844500"/>
    <w:rsid w:val="0084488A"/>
    <w:rsid w:val="008457F7"/>
    <w:rsid w:val="008469BB"/>
    <w:rsid w:val="00846C6F"/>
    <w:rsid w:val="00847429"/>
    <w:rsid w:val="0085083D"/>
    <w:rsid w:val="00850D01"/>
    <w:rsid w:val="00856071"/>
    <w:rsid w:val="00857D99"/>
    <w:rsid w:val="00860EBB"/>
    <w:rsid w:val="00863506"/>
    <w:rsid w:val="00863E86"/>
    <w:rsid w:val="00864FA4"/>
    <w:rsid w:val="008653F8"/>
    <w:rsid w:val="00866FE3"/>
    <w:rsid w:val="008718E0"/>
    <w:rsid w:val="00871A23"/>
    <w:rsid w:val="00871F4C"/>
    <w:rsid w:val="00872654"/>
    <w:rsid w:val="00872D27"/>
    <w:rsid w:val="00873CB5"/>
    <w:rsid w:val="00876AA6"/>
    <w:rsid w:val="0087769B"/>
    <w:rsid w:val="00881E69"/>
    <w:rsid w:val="00882BC0"/>
    <w:rsid w:val="00886026"/>
    <w:rsid w:val="0088668E"/>
    <w:rsid w:val="00887B68"/>
    <w:rsid w:val="00887BF4"/>
    <w:rsid w:val="00887F3C"/>
    <w:rsid w:val="00891B33"/>
    <w:rsid w:val="008925B8"/>
    <w:rsid w:val="00892710"/>
    <w:rsid w:val="008927AC"/>
    <w:rsid w:val="00893E1E"/>
    <w:rsid w:val="00895B38"/>
    <w:rsid w:val="008970FA"/>
    <w:rsid w:val="008A162F"/>
    <w:rsid w:val="008A1829"/>
    <w:rsid w:val="008A4022"/>
    <w:rsid w:val="008A7F92"/>
    <w:rsid w:val="008B1CE6"/>
    <w:rsid w:val="008B1DB9"/>
    <w:rsid w:val="008B2B11"/>
    <w:rsid w:val="008B40C0"/>
    <w:rsid w:val="008B6242"/>
    <w:rsid w:val="008B633F"/>
    <w:rsid w:val="008C0CF7"/>
    <w:rsid w:val="008C24B6"/>
    <w:rsid w:val="008C2CD2"/>
    <w:rsid w:val="008C4980"/>
    <w:rsid w:val="008C6A60"/>
    <w:rsid w:val="008C6E48"/>
    <w:rsid w:val="008C7303"/>
    <w:rsid w:val="008D2AA2"/>
    <w:rsid w:val="008D3D55"/>
    <w:rsid w:val="008D50B6"/>
    <w:rsid w:val="008D6383"/>
    <w:rsid w:val="008E3055"/>
    <w:rsid w:val="008E3D82"/>
    <w:rsid w:val="008E49B5"/>
    <w:rsid w:val="008E4C8A"/>
    <w:rsid w:val="008E5E5D"/>
    <w:rsid w:val="008E60EE"/>
    <w:rsid w:val="008F0E17"/>
    <w:rsid w:val="008F12D4"/>
    <w:rsid w:val="008F25FB"/>
    <w:rsid w:val="008F41D7"/>
    <w:rsid w:val="008F4C1B"/>
    <w:rsid w:val="008F5731"/>
    <w:rsid w:val="008F5E67"/>
    <w:rsid w:val="008F74FA"/>
    <w:rsid w:val="008F7518"/>
    <w:rsid w:val="00900D84"/>
    <w:rsid w:val="0091041D"/>
    <w:rsid w:val="009118DF"/>
    <w:rsid w:val="00913C93"/>
    <w:rsid w:val="00916136"/>
    <w:rsid w:val="009174CD"/>
    <w:rsid w:val="00917A05"/>
    <w:rsid w:val="00921FCD"/>
    <w:rsid w:val="00924D66"/>
    <w:rsid w:val="00925FB2"/>
    <w:rsid w:val="00927B43"/>
    <w:rsid w:val="00930386"/>
    <w:rsid w:val="00930C71"/>
    <w:rsid w:val="00930F26"/>
    <w:rsid w:val="009359D6"/>
    <w:rsid w:val="009364E5"/>
    <w:rsid w:val="009370C6"/>
    <w:rsid w:val="0094072D"/>
    <w:rsid w:val="0094203D"/>
    <w:rsid w:val="00942F18"/>
    <w:rsid w:val="00943629"/>
    <w:rsid w:val="009438FF"/>
    <w:rsid w:val="00943E3E"/>
    <w:rsid w:val="00944847"/>
    <w:rsid w:val="00944B7C"/>
    <w:rsid w:val="00945C33"/>
    <w:rsid w:val="009470CE"/>
    <w:rsid w:val="009509C6"/>
    <w:rsid w:val="00953E7A"/>
    <w:rsid w:val="00953F1E"/>
    <w:rsid w:val="00956EC9"/>
    <w:rsid w:val="009577E6"/>
    <w:rsid w:val="00963452"/>
    <w:rsid w:val="00965256"/>
    <w:rsid w:val="0096533F"/>
    <w:rsid w:val="0096635C"/>
    <w:rsid w:val="009665DC"/>
    <w:rsid w:val="00966AA5"/>
    <w:rsid w:val="00967289"/>
    <w:rsid w:val="0096744F"/>
    <w:rsid w:val="00970E84"/>
    <w:rsid w:val="0097119B"/>
    <w:rsid w:val="00971887"/>
    <w:rsid w:val="00973A4F"/>
    <w:rsid w:val="00974F8D"/>
    <w:rsid w:val="00975261"/>
    <w:rsid w:val="00982DD6"/>
    <w:rsid w:val="009852E1"/>
    <w:rsid w:val="00986D38"/>
    <w:rsid w:val="009919B2"/>
    <w:rsid w:val="00991BF1"/>
    <w:rsid w:val="00992445"/>
    <w:rsid w:val="009969C9"/>
    <w:rsid w:val="009A030D"/>
    <w:rsid w:val="009A4A48"/>
    <w:rsid w:val="009A4AA6"/>
    <w:rsid w:val="009A65F6"/>
    <w:rsid w:val="009A6665"/>
    <w:rsid w:val="009B13FE"/>
    <w:rsid w:val="009B1ED0"/>
    <w:rsid w:val="009B27B8"/>
    <w:rsid w:val="009B2BC2"/>
    <w:rsid w:val="009B2CDE"/>
    <w:rsid w:val="009B331B"/>
    <w:rsid w:val="009B36B9"/>
    <w:rsid w:val="009B7758"/>
    <w:rsid w:val="009C280D"/>
    <w:rsid w:val="009C2F01"/>
    <w:rsid w:val="009C32E7"/>
    <w:rsid w:val="009C41A1"/>
    <w:rsid w:val="009C4F3B"/>
    <w:rsid w:val="009C6A89"/>
    <w:rsid w:val="009C6AD9"/>
    <w:rsid w:val="009C7624"/>
    <w:rsid w:val="009C7B31"/>
    <w:rsid w:val="009D07DF"/>
    <w:rsid w:val="009D0CAD"/>
    <w:rsid w:val="009D1424"/>
    <w:rsid w:val="009D3134"/>
    <w:rsid w:val="009D382A"/>
    <w:rsid w:val="009D3C90"/>
    <w:rsid w:val="009D48EB"/>
    <w:rsid w:val="009D6BF9"/>
    <w:rsid w:val="009E0291"/>
    <w:rsid w:val="009E04C9"/>
    <w:rsid w:val="009E31D9"/>
    <w:rsid w:val="009E42A8"/>
    <w:rsid w:val="009E49BC"/>
    <w:rsid w:val="009E6989"/>
    <w:rsid w:val="009F43EA"/>
    <w:rsid w:val="009F6C1D"/>
    <w:rsid w:val="009F765D"/>
    <w:rsid w:val="009F7B7C"/>
    <w:rsid w:val="00A004B1"/>
    <w:rsid w:val="00A0371A"/>
    <w:rsid w:val="00A0403E"/>
    <w:rsid w:val="00A05061"/>
    <w:rsid w:val="00A06037"/>
    <w:rsid w:val="00A1099A"/>
    <w:rsid w:val="00A143D1"/>
    <w:rsid w:val="00A148E5"/>
    <w:rsid w:val="00A149F8"/>
    <w:rsid w:val="00A16FD4"/>
    <w:rsid w:val="00A17824"/>
    <w:rsid w:val="00A17CBF"/>
    <w:rsid w:val="00A17D08"/>
    <w:rsid w:val="00A2065E"/>
    <w:rsid w:val="00A20E0E"/>
    <w:rsid w:val="00A223F8"/>
    <w:rsid w:val="00A23187"/>
    <w:rsid w:val="00A23590"/>
    <w:rsid w:val="00A23875"/>
    <w:rsid w:val="00A25654"/>
    <w:rsid w:val="00A26312"/>
    <w:rsid w:val="00A34231"/>
    <w:rsid w:val="00A3426C"/>
    <w:rsid w:val="00A370C8"/>
    <w:rsid w:val="00A40586"/>
    <w:rsid w:val="00A417E6"/>
    <w:rsid w:val="00A42621"/>
    <w:rsid w:val="00A52038"/>
    <w:rsid w:val="00A54A77"/>
    <w:rsid w:val="00A5525A"/>
    <w:rsid w:val="00A56B7A"/>
    <w:rsid w:val="00A57983"/>
    <w:rsid w:val="00A6243D"/>
    <w:rsid w:val="00A62EEC"/>
    <w:rsid w:val="00A64438"/>
    <w:rsid w:val="00A64669"/>
    <w:rsid w:val="00A6629B"/>
    <w:rsid w:val="00A67274"/>
    <w:rsid w:val="00A67910"/>
    <w:rsid w:val="00A67C4A"/>
    <w:rsid w:val="00A717E2"/>
    <w:rsid w:val="00A73CD6"/>
    <w:rsid w:val="00A743B4"/>
    <w:rsid w:val="00A76EB7"/>
    <w:rsid w:val="00A76F44"/>
    <w:rsid w:val="00A852A3"/>
    <w:rsid w:val="00A87361"/>
    <w:rsid w:val="00A875DB"/>
    <w:rsid w:val="00A87D6A"/>
    <w:rsid w:val="00A9183F"/>
    <w:rsid w:val="00A94CED"/>
    <w:rsid w:val="00A94E45"/>
    <w:rsid w:val="00A954C6"/>
    <w:rsid w:val="00A955FD"/>
    <w:rsid w:val="00A96BE3"/>
    <w:rsid w:val="00A97BB5"/>
    <w:rsid w:val="00A97D37"/>
    <w:rsid w:val="00AA120D"/>
    <w:rsid w:val="00AA3270"/>
    <w:rsid w:val="00AA3C9D"/>
    <w:rsid w:val="00AB029E"/>
    <w:rsid w:val="00AB511B"/>
    <w:rsid w:val="00AB561C"/>
    <w:rsid w:val="00AB586B"/>
    <w:rsid w:val="00AB58A2"/>
    <w:rsid w:val="00AB58BF"/>
    <w:rsid w:val="00AB61BA"/>
    <w:rsid w:val="00AB6752"/>
    <w:rsid w:val="00AC3564"/>
    <w:rsid w:val="00AC4081"/>
    <w:rsid w:val="00AC4829"/>
    <w:rsid w:val="00AC495D"/>
    <w:rsid w:val="00AC5D81"/>
    <w:rsid w:val="00AC68BB"/>
    <w:rsid w:val="00AC6D4D"/>
    <w:rsid w:val="00AD0D23"/>
    <w:rsid w:val="00AD434C"/>
    <w:rsid w:val="00AD6140"/>
    <w:rsid w:val="00AE2AA6"/>
    <w:rsid w:val="00AE36FC"/>
    <w:rsid w:val="00AE60AF"/>
    <w:rsid w:val="00AE7E2A"/>
    <w:rsid w:val="00AF4126"/>
    <w:rsid w:val="00AF4A2B"/>
    <w:rsid w:val="00B002D3"/>
    <w:rsid w:val="00B005D0"/>
    <w:rsid w:val="00B01911"/>
    <w:rsid w:val="00B04692"/>
    <w:rsid w:val="00B0469A"/>
    <w:rsid w:val="00B04A9E"/>
    <w:rsid w:val="00B05BA1"/>
    <w:rsid w:val="00B0610A"/>
    <w:rsid w:val="00B0617C"/>
    <w:rsid w:val="00B06246"/>
    <w:rsid w:val="00B06F7E"/>
    <w:rsid w:val="00B072DF"/>
    <w:rsid w:val="00B13320"/>
    <w:rsid w:val="00B1357E"/>
    <w:rsid w:val="00B14159"/>
    <w:rsid w:val="00B14705"/>
    <w:rsid w:val="00B1534A"/>
    <w:rsid w:val="00B172DB"/>
    <w:rsid w:val="00B17B81"/>
    <w:rsid w:val="00B2027B"/>
    <w:rsid w:val="00B20A21"/>
    <w:rsid w:val="00B24198"/>
    <w:rsid w:val="00B2437A"/>
    <w:rsid w:val="00B248A9"/>
    <w:rsid w:val="00B263FD"/>
    <w:rsid w:val="00B2794C"/>
    <w:rsid w:val="00B311F2"/>
    <w:rsid w:val="00B317EA"/>
    <w:rsid w:val="00B33FF9"/>
    <w:rsid w:val="00B37795"/>
    <w:rsid w:val="00B40253"/>
    <w:rsid w:val="00B40376"/>
    <w:rsid w:val="00B41069"/>
    <w:rsid w:val="00B41C90"/>
    <w:rsid w:val="00B42FA0"/>
    <w:rsid w:val="00B43664"/>
    <w:rsid w:val="00B43F78"/>
    <w:rsid w:val="00B462DD"/>
    <w:rsid w:val="00B52269"/>
    <w:rsid w:val="00B52957"/>
    <w:rsid w:val="00B55B87"/>
    <w:rsid w:val="00B5618D"/>
    <w:rsid w:val="00B56E1E"/>
    <w:rsid w:val="00B6071A"/>
    <w:rsid w:val="00B611D1"/>
    <w:rsid w:val="00B61AE1"/>
    <w:rsid w:val="00B621F2"/>
    <w:rsid w:val="00B64023"/>
    <w:rsid w:val="00B65790"/>
    <w:rsid w:val="00B6630D"/>
    <w:rsid w:val="00B6641B"/>
    <w:rsid w:val="00B72B7D"/>
    <w:rsid w:val="00B73C13"/>
    <w:rsid w:val="00B73C77"/>
    <w:rsid w:val="00B74C95"/>
    <w:rsid w:val="00B7506C"/>
    <w:rsid w:val="00B80FCF"/>
    <w:rsid w:val="00B818DF"/>
    <w:rsid w:val="00B82AD5"/>
    <w:rsid w:val="00B8398A"/>
    <w:rsid w:val="00B8435F"/>
    <w:rsid w:val="00B84F31"/>
    <w:rsid w:val="00B86ABC"/>
    <w:rsid w:val="00B904E4"/>
    <w:rsid w:val="00B91E93"/>
    <w:rsid w:val="00B92F99"/>
    <w:rsid w:val="00B961F8"/>
    <w:rsid w:val="00B97231"/>
    <w:rsid w:val="00B97484"/>
    <w:rsid w:val="00BA308C"/>
    <w:rsid w:val="00BA33D4"/>
    <w:rsid w:val="00BA38F3"/>
    <w:rsid w:val="00BA45B3"/>
    <w:rsid w:val="00BA5816"/>
    <w:rsid w:val="00BA750D"/>
    <w:rsid w:val="00BA7E13"/>
    <w:rsid w:val="00BB04DE"/>
    <w:rsid w:val="00BB0A11"/>
    <w:rsid w:val="00BB3FAA"/>
    <w:rsid w:val="00BB5098"/>
    <w:rsid w:val="00BB5278"/>
    <w:rsid w:val="00BB615D"/>
    <w:rsid w:val="00BB6AF6"/>
    <w:rsid w:val="00BC0555"/>
    <w:rsid w:val="00BC713B"/>
    <w:rsid w:val="00BD05E2"/>
    <w:rsid w:val="00BD0D96"/>
    <w:rsid w:val="00BD1A25"/>
    <w:rsid w:val="00BD2FFE"/>
    <w:rsid w:val="00BD3024"/>
    <w:rsid w:val="00BD642F"/>
    <w:rsid w:val="00BD6563"/>
    <w:rsid w:val="00BD6BD7"/>
    <w:rsid w:val="00BD7A5B"/>
    <w:rsid w:val="00BD7E94"/>
    <w:rsid w:val="00BE5D6F"/>
    <w:rsid w:val="00BF24D7"/>
    <w:rsid w:val="00BF2B94"/>
    <w:rsid w:val="00BF712C"/>
    <w:rsid w:val="00BF714D"/>
    <w:rsid w:val="00BF7194"/>
    <w:rsid w:val="00BF798B"/>
    <w:rsid w:val="00C019C1"/>
    <w:rsid w:val="00C01B2A"/>
    <w:rsid w:val="00C027A0"/>
    <w:rsid w:val="00C03FCC"/>
    <w:rsid w:val="00C058F4"/>
    <w:rsid w:val="00C06714"/>
    <w:rsid w:val="00C11039"/>
    <w:rsid w:val="00C1108C"/>
    <w:rsid w:val="00C1153A"/>
    <w:rsid w:val="00C120D0"/>
    <w:rsid w:val="00C12FB5"/>
    <w:rsid w:val="00C1567C"/>
    <w:rsid w:val="00C158F0"/>
    <w:rsid w:val="00C16323"/>
    <w:rsid w:val="00C16A88"/>
    <w:rsid w:val="00C175C7"/>
    <w:rsid w:val="00C177EC"/>
    <w:rsid w:val="00C178FC"/>
    <w:rsid w:val="00C20A70"/>
    <w:rsid w:val="00C21434"/>
    <w:rsid w:val="00C214EA"/>
    <w:rsid w:val="00C22F05"/>
    <w:rsid w:val="00C231ED"/>
    <w:rsid w:val="00C25172"/>
    <w:rsid w:val="00C25B28"/>
    <w:rsid w:val="00C2704C"/>
    <w:rsid w:val="00C2766C"/>
    <w:rsid w:val="00C30D55"/>
    <w:rsid w:val="00C30F27"/>
    <w:rsid w:val="00C315F2"/>
    <w:rsid w:val="00C33A81"/>
    <w:rsid w:val="00C3441D"/>
    <w:rsid w:val="00C346B8"/>
    <w:rsid w:val="00C347B5"/>
    <w:rsid w:val="00C35B54"/>
    <w:rsid w:val="00C35E0C"/>
    <w:rsid w:val="00C36458"/>
    <w:rsid w:val="00C37460"/>
    <w:rsid w:val="00C40133"/>
    <w:rsid w:val="00C40BBB"/>
    <w:rsid w:val="00C41B9F"/>
    <w:rsid w:val="00C4434B"/>
    <w:rsid w:val="00C455B0"/>
    <w:rsid w:val="00C46BD0"/>
    <w:rsid w:val="00C50011"/>
    <w:rsid w:val="00C5052B"/>
    <w:rsid w:val="00C53419"/>
    <w:rsid w:val="00C62F19"/>
    <w:rsid w:val="00C63879"/>
    <w:rsid w:val="00C654A1"/>
    <w:rsid w:val="00C659B4"/>
    <w:rsid w:val="00C66546"/>
    <w:rsid w:val="00C66CD7"/>
    <w:rsid w:val="00C72967"/>
    <w:rsid w:val="00C8036C"/>
    <w:rsid w:val="00C8070A"/>
    <w:rsid w:val="00C80954"/>
    <w:rsid w:val="00C82499"/>
    <w:rsid w:val="00C86193"/>
    <w:rsid w:val="00C8756C"/>
    <w:rsid w:val="00C934D1"/>
    <w:rsid w:val="00C94BA7"/>
    <w:rsid w:val="00C9501C"/>
    <w:rsid w:val="00C9531F"/>
    <w:rsid w:val="00C96689"/>
    <w:rsid w:val="00C9717E"/>
    <w:rsid w:val="00CA46D8"/>
    <w:rsid w:val="00CA62BE"/>
    <w:rsid w:val="00CA6ABA"/>
    <w:rsid w:val="00CA701C"/>
    <w:rsid w:val="00CB1E42"/>
    <w:rsid w:val="00CB2FA4"/>
    <w:rsid w:val="00CB3682"/>
    <w:rsid w:val="00CB3796"/>
    <w:rsid w:val="00CB450C"/>
    <w:rsid w:val="00CB4A94"/>
    <w:rsid w:val="00CB4AB1"/>
    <w:rsid w:val="00CB68A0"/>
    <w:rsid w:val="00CB700A"/>
    <w:rsid w:val="00CB7F00"/>
    <w:rsid w:val="00CC03AE"/>
    <w:rsid w:val="00CC06C0"/>
    <w:rsid w:val="00CC0C08"/>
    <w:rsid w:val="00CC118C"/>
    <w:rsid w:val="00CC210B"/>
    <w:rsid w:val="00CC5447"/>
    <w:rsid w:val="00CD0CFE"/>
    <w:rsid w:val="00CD34A6"/>
    <w:rsid w:val="00CD71AB"/>
    <w:rsid w:val="00CE0ECF"/>
    <w:rsid w:val="00CE23FD"/>
    <w:rsid w:val="00CE3095"/>
    <w:rsid w:val="00CE6289"/>
    <w:rsid w:val="00CE6CFE"/>
    <w:rsid w:val="00CE72A6"/>
    <w:rsid w:val="00CE747E"/>
    <w:rsid w:val="00CE7FB9"/>
    <w:rsid w:val="00CF2B66"/>
    <w:rsid w:val="00CF34CE"/>
    <w:rsid w:val="00CF510E"/>
    <w:rsid w:val="00CF5778"/>
    <w:rsid w:val="00CF5B68"/>
    <w:rsid w:val="00CF7483"/>
    <w:rsid w:val="00D013A8"/>
    <w:rsid w:val="00D01D55"/>
    <w:rsid w:val="00D0440A"/>
    <w:rsid w:val="00D04CED"/>
    <w:rsid w:val="00D05260"/>
    <w:rsid w:val="00D0748C"/>
    <w:rsid w:val="00D10146"/>
    <w:rsid w:val="00D1059F"/>
    <w:rsid w:val="00D1112E"/>
    <w:rsid w:val="00D111E8"/>
    <w:rsid w:val="00D12AB4"/>
    <w:rsid w:val="00D12ED3"/>
    <w:rsid w:val="00D13BEA"/>
    <w:rsid w:val="00D149DD"/>
    <w:rsid w:val="00D14E74"/>
    <w:rsid w:val="00D15254"/>
    <w:rsid w:val="00D15CB6"/>
    <w:rsid w:val="00D15F3F"/>
    <w:rsid w:val="00D16533"/>
    <w:rsid w:val="00D170C3"/>
    <w:rsid w:val="00D1712F"/>
    <w:rsid w:val="00D22E8E"/>
    <w:rsid w:val="00D23D5D"/>
    <w:rsid w:val="00D240A6"/>
    <w:rsid w:val="00D24304"/>
    <w:rsid w:val="00D24E43"/>
    <w:rsid w:val="00D26528"/>
    <w:rsid w:val="00D2704D"/>
    <w:rsid w:val="00D2747D"/>
    <w:rsid w:val="00D33142"/>
    <w:rsid w:val="00D36AE4"/>
    <w:rsid w:val="00D409E4"/>
    <w:rsid w:val="00D4442A"/>
    <w:rsid w:val="00D45899"/>
    <w:rsid w:val="00D45FF0"/>
    <w:rsid w:val="00D4693E"/>
    <w:rsid w:val="00D46D2F"/>
    <w:rsid w:val="00D46FD0"/>
    <w:rsid w:val="00D476E7"/>
    <w:rsid w:val="00D47D75"/>
    <w:rsid w:val="00D50D0E"/>
    <w:rsid w:val="00D50E35"/>
    <w:rsid w:val="00D52201"/>
    <w:rsid w:val="00D52BF9"/>
    <w:rsid w:val="00D532D1"/>
    <w:rsid w:val="00D53740"/>
    <w:rsid w:val="00D53D07"/>
    <w:rsid w:val="00D54552"/>
    <w:rsid w:val="00D54E7C"/>
    <w:rsid w:val="00D54F17"/>
    <w:rsid w:val="00D57527"/>
    <w:rsid w:val="00D613A9"/>
    <w:rsid w:val="00D6405D"/>
    <w:rsid w:val="00D65209"/>
    <w:rsid w:val="00D6556E"/>
    <w:rsid w:val="00D6595E"/>
    <w:rsid w:val="00D66955"/>
    <w:rsid w:val="00D676B3"/>
    <w:rsid w:val="00D7016D"/>
    <w:rsid w:val="00D715E9"/>
    <w:rsid w:val="00D723D6"/>
    <w:rsid w:val="00D72C2C"/>
    <w:rsid w:val="00D72D6A"/>
    <w:rsid w:val="00D819CF"/>
    <w:rsid w:val="00D82DA3"/>
    <w:rsid w:val="00D83C23"/>
    <w:rsid w:val="00D83D86"/>
    <w:rsid w:val="00D84286"/>
    <w:rsid w:val="00D844BC"/>
    <w:rsid w:val="00D84E8F"/>
    <w:rsid w:val="00D90DCA"/>
    <w:rsid w:val="00D973DF"/>
    <w:rsid w:val="00D97678"/>
    <w:rsid w:val="00DA08D8"/>
    <w:rsid w:val="00DA346E"/>
    <w:rsid w:val="00DA37A1"/>
    <w:rsid w:val="00DA756D"/>
    <w:rsid w:val="00DB02B3"/>
    <w:rsid w:val="00DB311A"/>
    <w:rsid w:val="00DB625C"/>
    <w:rsid w:val="00DC2D01"/>
    <w:rsid w:val="00DC3D63"/>
    <w:rsid w:val="00DD039C"/>
    <w:rsid w:val="00DD0FCA"/>
    <w:rsid w:val="00DD1332"/>
    <w:rsid w:val="00DD2961"/>
    <w:rsid w:val="00DD3B14"/>
    <w:rsid w:val="00DD56EF"/>
    <w:rsid w:val="00DD5EA5"/>
    <w:rsid w:val="00DE16AF"/>
    <w:rsid w:val="00DE18FF"/>
    <w:rsid w:val="00DE4BE9"/>
    <w:rsid w:val="00DF11BB"/>
    <w:rsid w:val="00DF23F9"/>
    <w:rsid w:val="00DF36D9"/>
    <w:rsid w:val="00DF544A"/>
    <w:rsid w:val="00DF6409"/>
    <w:rsid w:val="00E02309"/>
    <w:rsid w:val="00E045A0"/>
    <w:rsid w:val="00E105AB"/>
    <w:rsid w:val="00E10A61"/>
    <w:rsid w:val="00E1121A"/>
    <w:rsid w:val="00E1252D"/>
    <w:rsid w:val="00E1269C"/>
    <w:rsid w:val="00E1288C"/>
    <w:rsid w:val="00E13AF9"/>
    <w:rsid w:val="00E147B6"/>
    <w:rsid w:val="00E15EAA"/>
    <w:rsid w:val="00E219AA"/>
    <w:rsid w:val="00E236B2"/>
    <w:rsid w:val="00E23E08"/>
    <w:rsid w:val="00E24AA8"/>
    <w:rsid w:val="00E26435"/>
    <w:rsid w:val="00E27C07"/>
    <w:rsid w:val="00E30183"/>
    <w:rsid w:val="00E31E04"/>
    <w:rsid w:val="00E35E83"/>
    <w:rsid w:val="00E3602F"/>
    <w:rsid w:val="00E36A9B"/>
    <w:rsid w:val="00E37177"/>
    <w:rsid w:val="00E373AD"/>
    <w:rsid w:val="00E428C7"/>
    <w:rsid w:val="00E430AB"/>
    <w:rsid w:val="00E43B68"/>
    <w:rsid w:val="00E44E3F"/>
    <w:rsid w:val="00E4531A"/>
    <w:rsid w:val="00E45895"/>
    <w:rsid w:val="00E4635E"/>
    <w:rsid w:val="00E47A72"/>
    <w:rsid w:val="00E50822"/>
    <w:rsid w:val="00E5129A"/>
    <w:rsid w:val="00E54998"/>
    <w:rsid w:val="00E54ADF"/>
    <w:rsid w:val="00E561CA"/>
    <w:rsid w:val="00E57EBA"/>
    <w:rsid w:val="00E6051F"/>
    <w:rsid w:val="00E6121B"/>
    <w:rsid w:val="00E61CF7"/>
    <w:rsid w:val="00E62F8D"/>
    <w:rsid w:val="00E6371E"/>
    <w:rsid w:val="00E638CD"/>
    <w:rsid w:val="00E63CCF"/>
    <w:rsid w:val="00E65D58"/>
    <w:rsid w:val="00E671DD"/>
    <w:rsid w:val="00E673DC"/>
    <w:rsid w:val="00E67BEA"/>
    <w:rsid w:val="00E70679"/>
    <w:rsid w:val="00E70B78"/>
    <w:rsid w:val="00E71469"/>
    <w:rsid w:val="00E71E8A"/>
    <w:rsid w:val="00E725CE"/>
    <w:rsid w:val="00E753C5"/>
    <w:rsid w:val="00E770E6"/>
    <w:rsid w:val="00E80BC0"/>
    <w:rsid w:val="00E81279"/>
    <w:rsid w:val="00E81A69"/>
    <w:rsid w:val="00E8272C"/>
    <w:rsid w:val="00E8484D"/>
    <w:rsid w:val="00E916ED"/>
    <w:rsid w:val="00E924ED"/>
    <w:rsid w:val="00E9411C"/>
    <w:rsid w:val="00E947E7"/>
    <w:rsid w:val="00E9653D"/>
    <w:rsid w:val="00EA008B"/>
    <w:rsid w:val="00EA169F"/>
    <w:rsid w:val="00EA22C9"/>
    <w:rsid w:val="00EA234A"/>
    <w:rsid w:val="00EA3BEC"/>
    <w:rsid w:val="00EA4730"/>
    <w:rsid w:val="00EA6C74"/>
    <w:rsid w:val="00EB080D"/>
    <w:rsid w:val="00EB0938"/>
    <w:rsid w:val="00EB4173"/>
    <w:rsid w:val="00EB5313"/>
    <w:rsid w:val="00EB5B03"/>
    <w:rsid w:val="00EB5BCC"/>
    <w:rsid w:val="00EC35F1"/>
    <w:rsid w:val="00EC5220"/>
    <w:rsid w:val="00EC5229"/>
    <w:rsid w:val="00EC55D8"/>
    <w:rsid w:val="00EC6358"/>
    <w:rsid w:val="00EC68AF"/>
    <w:rsid w:val="00EC6BAB"/>
    <w:rsid w:val="00EC743B"/>
    <w:rsid w:val="00EC751D"/>
    <w:rsid w:val="00EC7C58"/>
    <w:rsid w:val="00ED1B51"/>
    <w:rsid w:val="00ED5179"/>
    <w:rsid w:val="00ED75EA"/>
    <w:rsid w:val="00EE04D2"/>
    <w:rsid w:val="00EE0F91"/>
    <w:rsid w:val="00EE12C7"/>
    <w:rsid w:val="00EE1882"/>
    <w:rsid w:val="00EE26E0"/>
    <w:rsid w:val="00EE465E"/>
    <w:rsid w:val="00EE50CC"/>
    <w:rsid w:val="00EE6622"/>
    <w:rsid w:val="00EE71AB"/>
    <w:rsid w:val="00EE7CBE"/>
    <w:rsid w:val="00EF0CEF"/>
    <w:rsid w:val="00EF20C6"/>
    <w:rsid w:val="00EF25A8"/>
    <w:rsid w:val="00EF2981"/>
    <w:rsid w:val="00EF2C7E"/>
    <w:rsid w:val="00EF31C8"/>
    <w:rsid w:val="00EF4012"/>
    <w:rsid w:val="00EF4B14"/>
    <w:rsid w:val="00EF5B6A"/>
    <w:rsid w:val="00EF689D"/>
    <w:rsid w:val="00EF68BB"/>
    <w:rsid w:val="00F00D4E"/>
    <w:rsid w:val="00F012AF"/>
    <w:rsid w:val="00F0346C"/>
    <w:rsid w:val="00F039B9"/>
    <w:rsid w:val="00F03BA4"/>
    <w:rsid w:val="00F04DEE"/>
    <w:rsid w:val="00F058F8"/>
    <w:rsid w:val="00F06BD3"/>
    <w:rsid w:val="00F101B4"/>
    <w:rsid w:val="00F121A8"/>
    <w:rsid w:val="00F16173"/>
    <w:rsid w:val="00F173B0"/>
    <w:rsid w:val="00F20C19"/>
    <w:rsid w:val="00F21253"/>
    <w:rsid w:val="00F223CF"/>
    <w:rsid w:val="00F23C7D"/>
    <w:rsid w:val="00F30D57"/>
    <w:rsid w:val="00F30E0D"/>
    <w:rsid w:val="00F33ACC"/>
    <w:rsid w:val="00F37AD3"/>
    <w:rsid w:val="00F37B7B"/>
    <w:rsid w:val="00F4059C"/>
    <w:rsid w:val="00F40E4E"/>
    <w:rsid w:val="00F415ED"/>
    <w:rsid w:val="00F4218A"/>
    <w:rsid w:val="00F42FAF"/>
    <w:rsid w:val="00F433AF"/>
    <w:rsid w:val="00F440FA"/>
    <w:rsid w:val="00F4510C"/>
    <w:rsid w:val="00F458FC"/>
    <w:rsid w:val="00F47520"/>
    <w:rsid w:val="00F548F3"/>
    <w:rsid w:val="00F56E81"/>
    <w:rsid w:val="00F57B6F"/>
    <w:rsid w:val="00F6471F"/>
    <w:rsid w:val="00F64B5E"/>
    <w:rsid w:val="00F656C3"/>
    <w:rsid w:val="00F658BF"/>
    <w:rsid w:val="00F66B76"/>
    <w:rsid w:val="00F71492"/>
    <w:rsid w:val="00F716E8"/>
    <w:rsid w:val="00F74394"/>
    <w:rsid w:val="00F7557A"/>
    <w:rsid w:val="00F7651E"/>
    <w:rsid w:val="00F76E44"/>
    <w:rsid w:val="00F77EB9"/>
    <w:rsid w:val="00F81FA5"/>
    <w:rsid w:val="00F8298B"/>
    <w:rsid w:val="00F82B94"/>
    <w:rsid w:val="00F83436"/>
    <w:rsid w:val="00F83DE2"/>
    <w:rsid w:val="00F8570F"/>
    <w:rsid w:val="00F86148"/>
    <w:rsid w:val="00F90355"/>
    <w:rsid w:val="00F9073C"/>
    <w:rsid w:val="00F90C11"/>
    <w:rsid w:val="00F91359"/>
    <w:rsid w:val="00F925D2"/>
    <w:rsid w:val="00F9277D"/>
    <w:rsid w:val="00F92E33"/>
    <w:rsid w:val="00F94BF6"/>
    <w:rsid w:val="00F9529B"/>
    <w:rsid w:val="00F959C4"/>
    <w:rsid w:val="00F95E36"/>
    <w:rsid w:val="00F96520"/>
    <w:rsid w:val="00FA19C4"/>
    <w:rsid w:val="00FA3651"/>
    <w:rsid w:val="00FA37F1"/>
    <w:rsid w:val="00FA4A33"/>
    <w:rsid w:val="00FA4B0C"/>
    <w:rsid w:val="00FA56B6"/>
    <w:rsid w:val="00FA5F83"/>
    <w:rsid w:val="00FB08EE"/>
    <w:rsid w:val="00FB0D5F"/>
    <w:rsid w:val="00FB0DBA"/>
    <w:rsid w:val="00FB0FEB"/>
    <w:rsid w:val="00FB275D"/>
    <w:rsid w:val="00FB2BC6"/>
    <w:rsid w:val="00FB3A80"/>
    <w:rsid w:val="00FB3C4F"/>
    <w:rsid w:val="00FB5A71"/>
    <w:rsid w:val="00FB5B3F"/>
    <w:rsid w:val="00FB6760"/>
    <w:rsid w:val="00FC0EE8"/>
    <w:rsid w:val="00FC19F7"/>
    <w:rsid w:val="00FC1D4D"/>
    <w:rsid w:val="00FC2F9A"/>
    <w:rsid w:val="00FC5547"/>
    <w:rsid w:val="00FC5E3F"/>
    <w:rsid w:val="00FD13DF"/>
    <w:rsid w:val="00FD1943"/>
    <w:rsid w:val="00FD1959"/>
    <w:rsid w:val="00FD2064"/>
    <w:rsid w:val="00FD267D"/>
    <w:rsid w:val="00FD31B2"/>
    <w:rsid w:val="00FD43F8"/>
    <w:rsid w:val="00FD4E28"/>
    <w:rsid w:val="00FD51EF"/>
    <w:rsid w:val="00FD5815"/>
    <w:rsid w:val="00FD5FB1"/>
    <w:rsid w:val="00FD750F"/>
    <w:rsid w:val="00FE10C0"/>
    <w:rsid w:val="00FE212A"/>
    <w:rsid w:val="00FE4EB4"/>
    <w:rsid w:val="00FE62BB"/>
    <w:rsid w:val="00FE6B3B"/>
    <w:rsid w:val="00FE6B90"/>
    <w:rsid w:val="00FE77CB"/>
    <w:rsid w:val="00FE7FB0"/>
    <w:rsid w:val="00FF321E"/>
    <w:rsid w:val="00FF5ABC"/>
    <w:rsid w:val="00FF5B99"/>
    <w:rsid w:val="00FF6A87"/>
    <w:rsid w:val="00FF6E93"/>
    <w:rsid w:val="00FF7407"/>
    <w:rsid w:val="00FF7D3C"/>
    <w:rsid w:val="00FF7F47"/>
    <w:rsid w:val="01530F03"/>
    <w:rsid w:val="01A544B3"/>
    <w:rsid w:val="01D2451F"/>
    <w:rsid w:val="020047A4"/>
    <w:rsid w:val="022E7B44"/>
    <w:rsid w:val="027927E6"/>
    <w:rsid w:val="02B34699"/>
    <w:rsid w:val="02B40F82"/>
    <w:rsid w:val="02CA35F2"/>
    <w:rsid w:val="02F0175E"/>
    <w:rsid w:val="02F813BC"/>
    <w:rsid w:val="035148F2"/>
    <w:rsid w:val="03BA7E82"/>
    <w:rsid w:val="03FE341B"/>
    <w:rsid w:val="040522EB"/>
    <w:rsid w:val="04164C75"/>
    <w:rsid w:val="047B71E1"/>
    <w:rsid w:val="049C7DEF"/>
    <w:rsid w:val="04C410F4"/>
    <w:rsid w:val="04F95927"/>
    <w:rsid w:val="054A0E25"/>
    <w:rsid w:val="05522AFC"/>
    <w:rsid w:val="057760FF"/>
    <w:rsid w:val="05792A1B"/>
    <w:rsid w:val="060043AE"/>
    <w:rsid w:val="06010068"/>
    <w:rsid w:val="062048AA"/>
    <w:rsid w:val="06C8446B"/>
    <w:rsid w:val="071E3483"/>
    <w:rsid w:val="078D6BCE"/>
    <w:rsid w:val="07957AC2"/>
    <w:rsid w:val="07DE4C01"/>
    <w:rsid w:val="081621A5"/>
    <w:rsid w:val="084E323F"/>
    <w:rsid w:val="08543EDC"/>
    <w:rsid w:val="08633FCF"/>
    <w:rsid w:val="091F16FC"/>
    <w:rsid w:val="098E469C"/>
    <w:rsid w:val="0A7375B2"/>
    <w:rsid w:val="0AD61B81"/>
    <w:rsid w:val="0AE521ED"/>
    <w:rsid w:val="0B3C7E65"/>
    <w:rsid w:val="0BBA5BBB"/>
    <w:rsid w:val="0BE43E2A"/>
    <w:rsid w:val="0BF9487A"/>
    <w:rsid w:val="0C110FA0"/>
    <w:rsid w:val="0C27325E"/>
    <w:rsid w:val="0C664935"/>
    <w:rsid w:val="0CB735AF"/>
    <w:rsid w:val="0D3F1BA3"/>
    <w:rsid w:val="0D8B0A01"/>
    <w:rsid w:val="0D9A266D"/>
    <w:rsid w:val="0DFD6338"/>
    <w:rsid w:val="0E0624DF"/>
    <w:rsid w:val="0E0D5C55"/>
    <w:rsid w:val="0E295443"/>
    <w:rsid w:val="0E3A0C60"/>
    <w:rsid w:val="0E9B1118"/>
    <w:rsid w:val="0EA4727B"/>
    <w:rsid w:val="0ECC4E39"/>
    <w:rsid w:val="0ED63EFE"/>
    <w:rsid w:val="0EE5602F"/>
    <w:rsid w:val="0F111105"/>
    <w:rsid w:val="0F383E17"/>
    <w:rsid w:val="0F6018A6"/>
    <w:rsid w:val="0FDF0005"/>
    <w:rsid w:val="0FED7751"/>
    <w:rsid w:val="102B0D8C"/>
    <w:rsid w:val="10596B94"/>
    <w:rsid w:val="10707FA1"/>
    <w:rsid w:val="111B209C"/>
    <w:rsid w:val="11396AE6"/>
    <w:rsid w:val="11643A43"/>
    <w:rsid w:val="117F6E5A"/>
    <w:rsid w:val="11C5313F"/>
    <w:rsid w:val="11F272A1"/>
    <w:rsid w:val="12394D1A"/>
    <w:rsid w:val="12AC6C37"/>
    <w:rsid w:val="12B30355"/>
    <w:rsid w:val="12D22598"/>
    <w:rsid w:val="12E4198B"/>
    <w:rsid w:val="12F22A71"/>
    <w:rsid w:val="1343479E"/>
    <w:rsid w:val="13CB26D5"/>
    <w:rsid w:val="13CC77E7"/>
    <w:rsid w:val="146B158C"/>
    <w:rsid w:val="14BFE72C"/>
    <w:rsid w:val="14D67954"/>
    <w:rsid w:val="151E65FF"/>
    <w:rsid w:val="15F01B6D"/>
    <w:rsid w:val="160E6673"/>
    <w:rsid w:val="164E5950"/>
    <w:rsid w:val="16971A3E"/>
    <w:rsid w:val="16B814C8"/>
    <w:rsid w:val="170E2DF1"/>
    <w:rsid w:val="17546308"/>
    <w:rsid w:val="175B6524"/>
    <w:rsid w:val="177019A2"/>
    <w:rsid w:val="178667F0"/>
    <w:rsid w:val="17C30D26"/>
    <w:rsid w:val="17E72CD8"/>
    <w:rsid w:val="18185587"/>
    <w:rsid w:val="188B24A9"/>
    <w:rsid w:val="18C8188B"/>
    <w:rsid w:val="18E362EC"/>
    <w:rsid w:val="192B63E6"/>
    <w:rsid w:val="198336EC"/>
    <w:rsid w:val="198F1879"/>
    <w:rsid w:val="199E386A"/>
    <w:rsid w:val="19F67E2E"/>
    <w:rsid w:val="1A0F2D58"/>
    <w:rsid w:val="1A4054BB"/>
    <w:rsid w:val="1A6B4094"/>
    <w:rsid w:val="1A917906"/>
    <w:rsid w:val="1AD11A1D"/>
    <w:rsid w:val="1AD27CFC"/>
    <w:rsid w:val="1AE705B7"/>
    <w:rsid w:val="1B175A4B"/>
    <w:rsid w:val="1B1D202D"/>
    <w:rsid w:val="1B351FAC"/>
    <w:rsid w:val="1B5347D0"/>
    <w:rsid w:val="1B5F350E"/>
    <w:rsid w:val="1B6E7901"/>
    <w:rsid w:val="1BAD0E31"/>
    <w:rsid w:val="1C451253"/>
    <w:rsid w:val="1CB148FA"/>
    <w:rsid w:val="1CC94D00"/>
    <w:rsid w:val="1CE64978"/>
    <w:rsid w:val="1CFE11EF"/>
    <w:rsid w:val="1D25188C"/>
    <w:rsid w:val="1D453D00"/>
    <w:rsid w:val="1DAB704C"/>
    <w:rsid w:val="1DAF4298"/>
    <w:rsid w:val="1E3F4F75"/>
    <w:rsid w:val="1E693A45"/>
    <w:rsid w:val="1E6E4F97"/>
    <w:rsid w:val="1E9B4B16"/>
    <w:rsid w:val="1F3BD650"/>
    <w:rsid w:val="1F9959A8"/>
    <w:rsid w:val="201529D1"/>
    <w:rsid w:val="20A9143D"/>
    <w:rsid w:val="20B63B8F"/>
    <w:rsid w:val="20DF7F2A"/>
    <w:rsid w:val="20FB5A46"/>
    <w:rsid w:val="20FF72E4"/>
    <w:rsid w:val="210F0011"/>
    <w:rsid w:val="218912A4"/>
    <w:rsid w:val="21CC2CBB"/>
    <w:rsid w:val="21CE4BA0"/>
    <w:rsid w:val="22545EEB"/>
    <w:rsid w:val="22AF03F7"/>
    <w:rsid w:val="22BB5ED5"/>
    <w:rsid w:val="233B497B"/>
    <w:rsid w:val="23680BDD"/>
    <w:rsid w:val="23764AF4"/>
    <w:rsid w:val="23AB10B0"/>
    <w:rsid w:val="23F04D74"/>
    <w:rsid w:val="24194B61"/>
    <w:rsid w:val="24486C89"/>
    <w:rsid w:val="244C0ACF"/>
    <w:rsid w:val="244D55CF"/>
    <w:rsid w:val="244F40DF"/>
    <w:rsid w:val="24535517"/>
    <w:rsid w:val="2492046F"/>
    <w:rsid w:val="24AF1021"/>
    <w:rsid w:val="25570396"/>
    <w:rsid w:val="2580516E"/>
    <w:rsid w:val="25C552A1"/>
    <w:rsid w:val="25E65B15"/>
    <w:rsid w:val="264033C6"/>
    <w:rsid w:val="26C069A0"/>
    <w:rsid w:val="271A1D4E"/>
    <w:rsid w:val="27474A73"/>
    <w:rsid w:val="2749489A"/>
    <w:rsid w:val="27DC1017"/>
    <w:rsid w:val="27DD3CE5"/>
    <w:rsid w:val="28064EF1"/>
    <w:rsid w:val="28AB361A"/>
    <w:rsid w:val="28F456A7"/>
    <w:rsid w:val="291E0523"/>
    <w:rsid w:val="29721BCD"/>
    <w:rsid w:val="297445E7"/>
    <w:rsid w:val="29CB06AF"/>
    <w:rsid w:val="2A1F6075"/>
    <w:rsid w:val="2A3E013F"/>
    <w:rsid w:val="2AA00AFB"/>
    <w:rsid w:val="2AD822CF"/>
    <w:rsid w:val="2AEB1285"/>
    <w:rsid w:val="2B41036D"/>
    <w:rsid w:val="2B551F61"/>
    <w:rsid w:val="2B593BC3"/>
    <w:rsid w:val="2B887E7A"/>
    <w:rsid w:val="2BFF345E"/>
    <w:rsid w:val="2C181352"/>
    <w:rsid w:val="2CB90C8F"/>
    <w:rsid w:val="2CD9075D"/>
    <w:rsid w:val="2D156694"/>
    <w:rsid w:val="2D534CB7"/>
    <w:rsid w:val="2D5C3385"/>
    <w:rsid w:val="2D832E5C"/>
    <w:rsid w:val="2DCA3FE8"/>
    <w:rsid w:val="2E2E2FB7"/>
    <w:rsid w:val="2E5013D5"/>
    <w:rsid w:val="2EAE40F8"/>
    <w:rsid w:val="2ECF3E27"/>
    <w:rsid w:val="2ECF7305"/>
    <w:rsid w:val="2ED921D1"/>
    <w:rsid w:val="2F482B00"/>
    <w:rsid w:val="2F4F4749"/>
    <w:rsid w:val="2FC403F4"/>
    <w:rsid w:val="2FED091B"/>
    <w:rsid w:val="305576FB"/>
    <w:rsid w:val="30692BB7"/>
    <w:rsid w:val="323D7D2A"/>
    <w:rsid w:val="328B2E77"/>
    <w:rsid w:val="32D504FA"/>
    <w:rsid w:val="32E0684A"/>
    <w:rsid w:val="33134E41"/>
    <w:rsid w:val="33A45AC9"/>
    <w:rsid w:val="34741762"/>
    <w:rsid w:val="348830B0"/>
    <w:rsid w:val="34CF436F"/>
    <w:rsid w:val="34DA5451"/>
    <w:rsid w:val="34E139E8"/>
    <w:rsid w:val="34EE3579"/>
    <w:rsid w:val="350A7FFF"/>
    <w:rsid w:val="35A605A0"/>
    <w:rsid w:val="35BA15D4"/>
    <w:rsid w:val="35F92C8A"/>
    <w:rsid w:val="36970378"/>
    <w:rsid w:val="373B5DC2"/>
    <w:rsid w:val="378C0A78"/>
    <w:rsid w:val="37A95F84"/>
    <w:rsid w:val="37C7D96F"/>
    <w:rsid w:val="382D0788"/>
    <w:rsid w:val="382F1D7E"/>
    <w:rsid w:val="38334858"/>
    <w:rsid w:val="385D48B2"/>
    <w:rsid w:val="387027B4"/>
    <w:rsid w:val="38912AC0"/>
    <w:rsid w:val="39184F8F"/>
    <w:rsid w:val="39291E15"/>
    <w:rsid w:val="39754FD7"/>
    <w:rsid w:val="3986014B"/>
    <w:rsid w:val="39B12CEE"/>
    <w:rsid w:val="39F850F3"/>
    <w:rsid w:val="3A381F94"/>
    <w:rsid w:val="3A870937"/>
    <w:rsid w:val="3A991A0D"/>
    <w:rsid w:val="3A9C303C"/>
    <w:rsid w:val="3AAC1615"/>
    <w:rsid w:val="3AE73EE0"/>
    <w:rsid w:val="3B091DAA"/>
    <w:rsid w:val="3B11613A"/>
    <w:rsid w:val="3B2F16B7"/>
    <w:rsid w:val="3B6F28CC"/>
    <w:rsid w:val="3B970943"/>
    <w:rsid w:val="3BA13C27"/>
    <w:rsid w:val="3BEE22C2"/>
    <w:rsid w:val="3C572AAE"/>
    <w:rsid w:val="3C7823C0"/>
    <w:rsid w:val="3C9D629B"/>
    <w:rsid w:val="3CA10878"/>
    <w:rsid w:val="3CB96181"/>
    <w:rsid w:val="3CEB6517"/>
    <w:rsid w:val="3D5F2F58"/>
    <w:rsid w:val="3E0F1DC3"/>
    <w:rsid w:val="3E2B7513"/>
    <w:rsid w:val="3E412BA9"/>
    <w:rsid w:val="3E4F7C58"/>
    <w:rsid w:val="3E6664FE"/>
    <w:rsid w:val="3E8804C1"/>
    <w:rsid w:val="3E94330A"/>
    <w:rsid w:val="3EC01B1D"/>
    <w:rsid w:val="3F5E1222"/>
    <w:rsid w:val="3F860818"/>
    <w:rsid w:val="3F8D5FD8"/>
    <w:rsid w:val="3FC179D2"/>
    <w:rsid w:val="3FDA229B"/>
    <w:rsid w:val="3FEA5769"/>
    <w:rsid w:val="400E2C48"/>
    <w:rsid w:val="405F671E"/>
    <w:rsid w:val="40B54A04"/>
    <w:rsid w:val="40F335E1"/>
    <w:rsid w:val="41170801"/>
    <w:rsid w:val="427D472E"/>
    <w:rsid w:val="42887029"/>
    <w:rsid w:val="4360784E"/>
    <w:rsid w:val="44101917"/>
    <w:rsid w:val="4416656F"/>
    <w:rsid w:val="444D0D7E"/>
    <w:rsid w:val="44637801"/>
    <w:rsid w:val="44840D60"/>
    <w:rsid w:val="44875842"/>
    <w:rsid w:val="44953938"/>
    <w:rsid w:val="4527452D"/>
    <w:rsid w:val="45464D83"/>
    <w:rsid w:val="454C60AB"/>
    <w:rsid w:val="456412EE"/>
    <w:rsid w:val="45945DDC"/>
    <w:rsid w:val="45A442A5"/>
    <w:rsid w:val="45AF3ADE"/>
    <w:rsid w:val="46625A9C"/>
    <w:rsid w:val="46C96D24"/>
    <w:rsid w:val="46F83249"/>
    <w:rsid w:val="47317FE3"/>
    <w:rsid w:val="474C7FB6"/>
    <w:rsid w:val="47E377CC"/>
    <w:rsid w:val="47EF7CAB"/>
    <w:rsid w:val="481D21A3"/>
    <w:rsid w:val="48AB24B8"/>
    <w:rsid w:val="48B23078"/>
    <w:rsid w:val="48B567E9"/>
    <w:rsid w:val="48DB150A"/>
    <w:rsid w:val="48DE5D56"/>
    <w:rsid w:val="49226E38"/>
    <w:rsid w:val="493959E5"/>
    <w:rsid w:val="49492F43"/>
    <w:rsid w:val="49AB775A"/>
    <w:rsid w:val="49B66D09"/>
    <w:rsid w:val="49D87211"/>
    <w:rsid w:val="4A4A6F73"/>
    <w:rsid w:val="4A5B1180"/>
    <w:rsid w:val="4A7544B4"/>
    <w:rsid w:val="4ABB577A"/>
    <w:rsid w:val="4ABF170F"/>
    <w:rsid w:val="4AC77777"/>
    <w:rsid w:val="4AC932CC"/>
    <w:rsid w:val="4AEC536F"/>
    <w:rsid w:val="4AFBAE3D"/>
    <w:rsid w:val="4B422D36"/>
    <w:rsid w:val="4B4A2864"/>
    <w:rsid w:val="4B773D97"/>
    <w:rsid w:val="4B775437"/>
    <w:rsid w:val="4B7C315C"/>
    <w:rsid w:val="4BAE4DCD"/>
    <w:rsid w:val="4BDB2578"/>
    <w:rsid w:val="4BDD15CA"/>
    <w:rsid w:val="4BE63830"/>
    <w:rsid w:val="4BF76C86"/>
    <w:rsid w:val="4C386633"/>
    <w:rsid w:val="4C6715C0"/>
    <w:rsid w:val="4CE83703"/>
    <w:rsid w:val="4D3B579E"/>
    <w:rsid w:val="4D950542"/>
    <w:rsid w:val="4D9A3D6D"/>
    <w:rsid w:val="4DD83BCC"/>
    <w:rsid w:val="4EB0230D"/>
    <w:rsid w:val="4ED83056"/>
    <w:rsid w:val="4EF370BD"/>
    <w:rsid w:val="4F2C37A6"/>
    <w:rsid w:val="4F506DD9"/>
    <w:rsid w:val="4FBC1A69"/>
    <w:rsid w:val="4FD079AA"/>
    <w:rsid w:val="4FEC2689"/>
    <w:rsid w:val="50081AA2"/>
    <w:rsid w:val="503264DF"/>
    <w:rsid w:val="50454464"/>
    <w:rsid w:val="50497717"/>
    <w:rsid w:val="50633C92"/>
    <w:rsid w:val="50A80019"/>
    <w:rsid w:val="50F520D0"/>
    <w:rsid w:val="51143E36"/>
    <w:rsid w:val="51262814"/>
    <w:rsid w:val="516F01B0"/>
    <w:rsid w:val="518C6B68"/>
    <w:rsid w:val="51A87330"/>
    <w:rsid w:val="51AC6956"/>
    <w:rsid w:val="51C056FA"/>
    <w:rsid w:val="51FD46F2"/>
    <w:rsid w:val="520D4538"/>
    <w:rsid w:val="52140592"/>
    <w:rsid w:val="52174B75"/>
    <w:rsid w:val="52734B8D"/>
    <w:rsid w:val="529271E0"/>
    <w:rsid w:val="530572B0"/>
    <w:rsid w:val="5314781C"/>
    <w:rsid w:val="531D577B"/>
    <w:rsid w:val="53204D14"/>
    <w:rsid w:val="532B566C"/>
    <w:rsid w:val="53694B2E"/>
    <w:rsid w:val="53803A05"/>
    <w:rsid w:val="53A350A0"/>
    <w:rsid w:val="53D87615"/>
    <w:rsid w:val="53ED6CD0"/>
    <w:rsid w:val="5519440D"/>
    <w:rsid w:val="5576744F"/>
    <w:rsid w:val="55A65DD0"/>
    <w:rsid w:val="55D94EE4"/>
    <w:rsid w:val="561F12B3"/>
    <w:rsid w:val="56E122E9"/>
    <w:rsid w:val="573228E4"/>
    <w:rsid w:val="575136EE"/>
    <w:rsid w:val="57FB1BE5"/>
    <w:rsid w:val="58127D36"/>
    <w:rsid w:val="592E6F85"/>
    <w:rsid w:val="593F3A1A"/>
    <w:rsid w:val="594D1865"/>
    <w:rsid w:val="59957CD9"/>
    <w:rsid w:val="59A673BE"/>
    <w:rsid w:val="59D91176"/>
    <w:rsid w:val="5A076F56"/>
    <w:rsid w:val="5A8E035F"/>
    <w:rsid w:val="5AC400F0"/>
    <w:rsid w:val="5ADB6EEA"/>
    <w:rsid w:val="5AEB0066"/>
    <w:rsid w:val="5AFBC65A"/>
    <w:rsid w:val="5BFE441D"/>
    <w:rsid w:val="5CD42EF2"/>
    <w:rsid w:val="5CDC35F6"/>
    <w:rsid w:val="5CF67716"/>
    <w:rsid w:val="5CFF6654"/>
    <w:rsid w:val="5D1D710C"/>
    <w:rsid w:val="5D290C69"/>
    <w:rsid w:val="5D516F00"/>
    <w:rsid w:val="5D6357C4"/>
    <w:rsid w:val="5D9407D9"/>
    <w:rsid w:val="5DCC1487"/>
    <w:rsid w:val="5E7F2A4C"/>
    <w:rsid w:val="5EBD5B0D"/>
    <w:rsid w:val="5F9B1418"/>
    <w:rsid w:val="5FDA298D"/>
    <w:rsid w:val="603D5158"/>
    <w:rsid w:val="604751DF"/>
    <w:rsid w:val="606D4498"/>
    <w:rsid w:val="609603C4"/>
    <w:rsid w:val="60E92BE5"/>
    <w:rsid w:val="611A2BB1"/>
    <w:rsid w:val="611D2893"/>
    <w:rsid w:val="61722012"/>
    <w:rsid w:val="61D677EB"/>
    <w:rsid w:val="6204304C"/>
    <w:rsid w:val="62495FEA"/>
    <w:rsid w:val="62677CA8"/>
    <w:rsid w:val="627C6BF3"/>
    <w:rsid w:val="62AC3ECF"/>
    <w:rsid w:val="62C1386B"/>
    <w:rsid w:val="62F5000B"/>
    <w:rsid w:val="62F8012C"/>
    <w:rsid w:val="63280811"/>
    <w:rsid w:val="63531402"/>
    <w:rsid w:val="63A578CC"/>
    <w:rsid w:val="63B55C23"/>
    <w:rsid w:val="643332FA"/>
    <w:rsid w:val="64383F30"/>
    <w:rsid w:val="643F482C"/>
    <w:rsid w:val="64644CE8"/>
    <w:rsid w:val="64DE058B"/>
    <w:rsid w:val="65214204"/>
    <w:rsid w:val="65534AD5"/>
    <w:rsid w:val="65890586"/>
    <w:rsid w:val="65C23A09"/>
    <w:rsid w:val="66FB1950"/>
    <w:rsid w:val="676D5BFB"/>
    <w:rsid w:val="67896569"/>
    <w:rsid w:val="67D57680"/>
    <w:rsid w:val="67FF1BB5"/>
    <w:rsid w:val="68191741"/>
    <w:rsid w:val="687C7379"/>
    <w:rsid w:val="688A4A0A"/>
    <w:rsid w:val="68B63758"/>
    <w:rsid w:val="68CB582D"/>
    <w:rsid w:val="69172000"/>
    <w:rsid w:val="692F2E82"/>
    <w:rsid w:val="69455489"/>
    <w:rsid w:val="696A4AE4"/>
    <w:rsid w:val="697324AA"/>
    <w:rsid w:val="697E6C41"/>
    <w:rsid w:val="699B4C9D"/>
    <w:rsid w:val="69F148BD"/>
    <w:rsid w:val="6A50275D"/>
    <w:rsid w:val="6A5D3489"/>
    <w:rsid w:val="6AA71373"/>
    <w:rsid w:val="6B2001DF"/>
    <w:rsid w:val="6B295AA1"/>
    <w:rsid w:val="6B3726F6"/>
    <w:rsid w:val="6B9F7300"/>
    <w:rsid w:val="6BA271A5"/>
    <w:rsid w:val="6BA77B64"/>
    <w:rsid w:val="6BD53A62"/>
    <w:rsid w:val="6C4231AF"/>
    <w:rsid w:val="6CB57A72"/>
    <w:rsid w:val="6D024C0F"/>
    <w:rsid w:val="6D524586"/>
    <w:rsid w:val="6DBD1464"/>
    <w:rsid w:val="6E070C50"/>
    <w:rsid w:val="6E443B66"/>
    <w:rsid w:val="6E5777C8"/>
    <w:rsid w:val="6E6C09B6"/>
    <w:rsid w:val="6E7E2EFE"/>
    <w:rsid w:val="6EAB14DE"/>
    <w:rsid w:val="6EAE1C71"/>
    <w:rsid w:val="6EAE7733"/>
    <w:rsid w:val="6EAF0780"/>
    <w:rsid w:val="6EDD2C8E"/>
    <w:rsid w:val="6EE6141B"/>
    <w:rsid w:val="6EEA3674"/>
    <w:rsid w:val="6EF76A10"/>
    <w:rsid w:val="6F241291"/>
    <w:rsid w:val="6F282B2F"/>
    <w:rsid w:val="6F4046A2"/>
    <w:rsid w:val="7001789B"/>
    <w:rsid w:val="706D4A75"/>
    <w:rsid w:val="708A4AC0"/>
    <w:rsid w:val="708E2E66"/>
    <w:rsid w:val="70D27084"/>
    <w:rsid w:val="70DD62C1"/>
    <w:rsid w:val="70F36627"/>
    <w:rsid w:val="711C2B67"/>
    <w:rsid w:val="713308C0"/>
    <w:rsid w:val="71B72890"/>
    <w:rsid w:val="71F62BE8"/>
    <w:rsid w:val="72385484"/>
    <w:rsid w:val="72A56986"/>
    <w:rsid w:val="73BDBA02"/>
    <w:rsid w:val="73E96378"/>
    <w:rsid w:val="741D71AE"/>
    <w:rsid w:val="7443040B"/>
    <w:rsid w:val="744D73BA"/>
    <w:rsid w:val="745F760F"/>
    <w:rsid w:val="74600D30"/>
    <w:rsid w:val="74A54C22"/>
    <w:rsid w:val="74C0380A"/>
    <w:rsid w:val="74EC2851"/>
    <w:rsid w:val="75012163"/>
    <w:rsid w:val="75050D66"/>
    <w:rsid w:val="750E3277"/>
    <w:rsid w:val="75284986"/>
    <w:rsid w:val="76233386"/>
    <w:rsid w:val="769B2E85"/>
    <w:rsid w:val="76E36870"/>
    <w:rsid w:val="770C71DA"/>
    <w:rsid w:val="7722255A"/>
    <w:rsid w:val="772238C4"/>
    <w:rsid w:val="77266487"/>
    <w:rsid w:val="773F11E3"/>
    <w:rsid w:val="7825732E"/>
    <w:rsid w:val="786372CE"/>
    <w:rsid w:val="78986042"/>
    <w:rsid w:val="7899274E"/>
    <w:rsid w:val="78992B87"/>
    <w:rsid w:val="78B40421"/>
    <w:rsid w:val="79381944"/>
    <w:rsid w:val="79DDF4AE"/>
    <w:rsid w:val="7A13262E"/>
    <w:rsid w:val="7A6D6341"/>
    <w:rsid w:val="7A8F43AA"/>
    <w:rsid w:val="7AA80FC8"/>
    <w:rsid w:val="7ABB0CFB"/>
    <w:rsid w:val="7B1639CD"/>
    <w:rsid w:val="7B18439F"/>
    <w:rsid w:val="7B31366B"/>
    <w:rsid w:val="7B66552D"/>
    <w:rsid w:val="7BC5E317"/>
    <w:rsid w:val="7BE0283D"/>
    <w:rsid w:val="7C077F70"/>
    <w:rsid w:val="7DBD5199"/>
    <w:rsid w:val="7DDA3AE2"/>
    <w:rsid w:val="7DDBD316"/>
    <w:rsid w:val="7DEC6E4F"/>
    <w:rsid w:val="7E0935CE"/>
    <w:rsid w:val="7E8F4B98"/>
    <w:rsid w:val="7F6A3814"/>
    <w:rsid w:val="7FC71767"/>
    <w:rsid w:val="B7FF0348"/>
    <w:rsid w:val="BFCF7C77"/>
    <w:rsid w:val="D3EF5DB7"/>
    <w:rsid w:val="D3FF2FC7"/>
    <w:rsid w:val="EF3F2D5F"/>
    <w:rsid w:val="F5FFCAE6"/>
    <w:rsid w:val="F87C8CBC"/>
    <w:rsid w:val="FBDBADF1"/>
    <w:rsid w:val="FE53EE7F"/>
    <w:rsid w:val="FE7FD5F5"/>
    <w:rsid w:val="FE8E8D41"/>
    <w:rsid w:val="FE9F0843"/>
    <w:rsid w:val="FEF51856"/>
    <w:rsid w:val="FFAEECF8"/>
    <w:rsid w:val="FFBF3648"/>
    <w:rsid w:val="FFF782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qFormat="1" w:uiPriority="39" w:semiHidden="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qFormat="1"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qFormat/>
    <w:uiPriority w:val="0"/>
    <w:pPr>
      <w:keepNext/>
      <w:keepLines/>
      <w:spacing w:before="340" w:after="330" w:line="578" w:lineRule="auto"/>
      <w:outlineLvl w:val="0"/>
    </w:pPr>
    <w:rPr>
      <w:rFonts w:eastAsia="仿宋_GB2312"/>
      <w:b/>
      <w:kern w:val="44"/>
      <w:sz w:val="24"/>
      <w:szCs w:val="24"/>
    </w:rPr>
  </w:style>
  <w:style w:type="paragraph" w:styleId="6">
    <w:name w:val="heading 2"/>
    <w:basedOn w:val="1"/>
    <w:next w:val="1"/>
    <w:qFormat/>
    <w:uiPriority w:val="0"/>
    <w:pPr>
      <w:keepNext/>
      <w:keepLines/>
      <w:spacing w:before="260" w:after="260" w:line="413" w:lineRule="auto"/>
      <w:outlineLvl w:val="1"/>
    </w:pPr>
    <w:rPr>
      <w:rFonts w:hint="eastAsia" w:ascii="Arial" w:hAnsi="Arial" w:eastAsia="黑体"/>
      <w:b/>
      <w:sz w:val="32"/>
    </w:rPr>
  </w:style>
  <w:style w:type="paragraph" w:styleId="7">
    <w:name w:val="heading 6"/>
    <w:basedOn w:val="1"/>
    <w:next w:val="1"/>
    <w:qFormat/>
    <w:uiPriority w:val="0"/>
    <w:pPr>
      <w:keepNext/>
      <w:keepLines/>
      <w:widowControl/>
      <w:wordWrap w:val="0"/>
      <w:topLinePunct/>
      <w:autoSpaceDE/>
      <w:autoSpaceDN/>
      <w:adjustRightInd w:val="0"/>
      <w:spacing w:before="240" w:after="64" w:afterLines="50" w:line="320" w:lineRule="auto"/>
      <w:ind w:left="1134" w:hanging="1134" w:firstLineChars="200"/>
      <w:jc w:val="both"/>
      <w:outlineLvl w:val="5"/>
    </w:pPr>
    <w:rPr>
      <w:rFonts w:ascii="Calibri Light" w:hAnsi="Calibri Light" w:cs="Times New Roman"/>
      <w:b/>
      <w:bCs/>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tabs>
        <w:tab w:val="left" w:pos="0"/>
        <w:tab w:val="left" w:pos="993"/>
        <w:tab w:val="left" w:pos="1134"/>
      </w:tabs>
      <w:ind w:firstLine="200" w:firstLineChars="200"/>
    </w:pPr>
  </w:style>
  <w:style w:type="paragraph" w:styleId="3">
    <w:name w:val="Body Text Indent"/>
    <w:basedOn w:val="1"/>
    <w:next w:val="4"/>
    <w:qFormat/>
    <w:uiPriority w:val="0"/>
    <w:pPr>
      <w:ind w:firstLine="420"/>
    </w:pPr>
    <w:rPr>
      <w:sz w:val="24"/>
    </w:rPr>
  </w:style>
  <w:style w:type="paragraph" w:styleId="4">
    <w:name w:val="envelope return"/>
    <w:basedOn w:val="1"/>
    <w:qFormat/>
    <w:uiPriority w:val="99"/>
    <w:pPr>
      <w:snapToGrid w:val="0"/>
    </w:pPr>
    <w:rPr>
      <w:rFonts w:ascii="Arial" w:hAnsi="Arial" w:cs="Arial"/>
    </w:rPr>
  </w:style>
  <w:style w:type="paragraph" w:styleId="8">
    <w:name w:val="Normal Indent"/>
    <w:basedOn w:val="1"/>
    <w:qFormat/>
    <w:uiPriority w:val="0"/>
    <w:pPr>
      <w:ind w:firstLine="420" w:firstLineChars="200"/>
    </w:pPr>
    <w:rPr>
      <w:szCs w:val="24"/>
    </w:rPr>
  </w:style>
  <w:style w:type="paragraph" w:styleId="9">
    <w:name w:val="annotation text"/>
    <w:basedOn w:val="1"/>
    <w:link w:val="62"/>
    <w:qFormat/>
    <w:uiPriority w:val="0"/>
    <w:pPr>
      <w:jc w:val="left"/>
    </w:pPr>
  </w:style>
  <w:style w:type="paragraph" w:styleId="10">
    <w:name w:val="Body Text"/>
    <w:basedOn w:val="1"/>
    <w:qFormat/>
    <w:uiPriority w:val="0"/>
    <w:pPr>
      <w:spacing w:after="120"/>
    </w:pPr>
    <w:rPr>
      <w:szCs w:val="24"/>
    </w:rPr>
  </w:style>
  <w:style w:type="paragraph" w:styleId="11">
    <w:name w:val="List 2"/>
    <w:basedOn w:val="1"/>
    <w:semiHidden/>
    <w:unhideWhenUsed/>
    <w:qFormat/>
    <w:uiPriority w:val="0"/>
    <w:pPr>
      <w:ind w:left="100" w:leftChars="200" w:hanging="200" w:hangingChars="200"/>
      <w:contextualSpacing/>
    </w:pPr>
  </w:style>
  <w:style w:type="paragraph" w:styleId="12">
    <w:name w:val="List Continue"/>
    <w:basedOn w:val="1"/>
    <w:semiHidden/>
    <w:unhideWhenUsed/>
    <w:qFormat/>
    <w:uiPriority w:val="0"/>
    <w:pPr>
      <w:spacing w:after="120"/>
      <w:ind w:left="420" w:leftChars="200"/>
      <w:contextualSpacing/>
    </w:pPr>
  </w:style>
  <w:style w:type="paragraph" w:styleId="13">
    <w:name w:val="toc 5"/>
    <w:basedOn w:val="1"/>
    <w:next w:val="1"/>
    <w:unhideWhenUsed/>
    <w:qFormat/>
    <w:uiPriority w:val="39"/>
    <w:pPr>
      <w:ind w:left="840"/>
      <w:jc w:val="left"/>
    </w:pPr>
    <w:rPr>
      <w:rFonts w:ascii="Calibri" w:hAnsi="Calibri" w:cs="Calibri"/>
      <w:sz w:val="18"/>
      <w:szCs w:val="18"/>
    </w:rPr>
  </w:style>
  <w:style w:type="paragraph" w:styleId="14">
    <w:name w:val="Plain Text"/>
    <w:basedOn w:val="1"/>
    <w:link w:val="43"/>
    <w:qFormat/>
    <w:uiPriority w:val="0"/>
    <w:rPr>
      <w:rFonts w:ascii="宋体" w:hAnsi="Courier New"/>
    </w:rPr>
  </w:style>
  <w:style w:type="paragraph" w:styleId="15">
    <w:name w:val="Date"/>
    <w:basedOn w:val="1"/>
    <w:next w:val="1"/>
    <w:link w:val="58"/>
    <w:qFormat/>
    <w:uiPriority w:val="0"/>
    <w:rPr>
      <w:sz w:val="24"/>
    </w:rPr>
  </w:style>
  <w:style w:type="paragraph" w:styleId="16">
    <w:name w:val="Body Text Indent 2"/>
    <w:basedOn w:val="1"/>
    <w:qFormat/>
    <w:uiPriority w:val="0"/>
    <w:pPr>
      <w:spacing w:after="120" w:line="480" w:lineRule="auto"/>
      <w:ind w:left="420" w:leftChars="200"/>
    </w:pPr>
  </w:style>
  <w:style w:type="paragraph" w:styleId="17">
    <w:name w:val="Balloon Text"/>
    <w:basedOn w:val="1"/>
    <w:autoRedefine/>
    <w:qFormat/>
    <w:uiPriority w:val="0"/>
    <w:rPr>
      <w:sz w:val="18"/>
      <w:szCs w:val="18"/>
    </w:rPr>
  </w:style>
  <w:style w:type="paragraph" w:styleId="18">
    <w:name w:val="footer"/>
    <w:basedOn w:val="1"/>
    <w:link w:val="50"/>
    <w:qFormat/>
    <w:uiPriority w:val="99"/>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pPr>
      <w:tabs>
        <w:tab w:val="right" w:leader="dot" w:pos="9345"/>
      </w:tabs>
      <w:spacing w:line="360" w:lineRule="auto"/>
      <w:jc w:val="left"/>
    </w:pPr>
    <w:rPr>
      <w:rFonts w:ascii="宋体" w:hAnsi="宋体" w:cs="Courier New"/>
      <w:bCs/>
      <w:caps/>
      <w:kern w:val="44"/>
      <w:sz w:val="32"/>
      <w:szCs w:val="32"/>
    </w:rPr>
  </w:style>
  <w:style w:type="paragraph" w:styleId="21">
    <w:name w:val="List"/>
    <w:basedOn w:val="1"/>
    <w:autoRedefine/>
    <w:qFormat/>
    <w:uiPriority w:val="0"/>
    <w:pPr>
      <w:ind w:left="200" w:hanging="200" w:hangingChars="200"/>
    </w:pPr>
  </w:style>
  <w:style w:type="paragraph" w:styleId="22">
    <w:name w:val="Body Text Indent 3"/>
    <w:basedOn w:val="1"/>
    <w:next w:val="1"/>
    <w:autoRedefine/>
    <w:qFormat/>
    <w:uiPriority w:val="0"/>
    <w:pPr>
      <w:ind w:firstLine="480"/>
    </w:pPr>
    <w:rPr>
      <w:rFonts w:ascii="宋体" w:hAnsi="宋体"/>
      <w:sz w:val="24"/>
    </w:rPr>
  </w:style>
  <w:style w:type="paragraph" w:styleId="23">
    <w:name w:val="Normal (Web)"/>
    <w:basedOn w:val="1"/>
    <w:autoRedefine/>
    <w:qFormat/>
    <w:uiPriority w:val="0"/>
    <w:pPr>
      <w:spacing w:before="100" w:beforeAutospacing="1" w:after="100" w:afterAutospacing="1"/>
      <w:jc w:val="left"/>
    </w:pPr>
    <w:rPr>
      <w:kern w:val="0"/>
      <w:sz w:val="24"/>
    </w:rPr>
  </w:style>
  <w:style w:type="paragraph" w:styleId="24">
    <w:name w:val="annotation subject"/>
    <w:basedOn w:val="9"/>
    <w:next w:val="9"/>
    <w:link w:val="63"/>
    <w:autoRedefine/>
    <w:qFormat/>
    <w:uiPriority w:val="0"/>
    <w:rPr>
      <w:b/>
      <w:bCs/>
    </w:rPr>
  </w:style>
  <w:style w:type="table" w:styleId="26">
    <w:name w:val="Table Grid"/>
    <w:basedOn w:val="2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8">
    <w:name w:val="page number"/>
    <w:basedOn w:val="27"/>
    <w:autoRedefine/>
    <w:qFormat/>
    <w:uiPriority w:val="0"/>
  </w:style>
  <w:style w:type="character" w:styleId="29">
    <w:name w:val="FollowedHyperlink"/>
    <w:basedOn w:val="27"/>
    <w:autoRedefine/>
    <w:qFormat/>
    <w:uiPriority w:val="0"/>
    <w:rPr>
      <w:color w:val="0000FF"/>
      <w:u w:val="none"/>
    </w:rPr>
  </w:style>
  <w:style w:type="character" w:styleId="30">
    <w:name w:val="Emphasis"/>
    <w:basedOn w:val="27"/>
    <w:autoRedefine/>
    <w:qFormat/>
    <w:uiPriority w:val="0"/>
    <w:rPr>
      <w:b/>
      <w:i/>
    </w:rPr>
  </w:style>
  <w:style w:type="character" w:styleId="31">
    <w:name w:val="Hyperlink"/>
    <w:basedOn w:val="27"/>
    <w:qFormat/>
    <w:uiPriority w:val="0"/>
    <w:rPr>
      <w:color w:val="0000FF"/>
      <w:u w:val="none"/>
    </w:rPr>
  </w:style>
  <w:style w:type="character" w:styleId="32">
    <w:name w:val="annotation reference"/>
    <w:basedOn w:val="27"/>
    <w:qFormat/>
    <w:uiPriority w:val="0"/>
    <w:rPr>
      <w:sz w:val="21"/>
      <w:szCs w:val="21"/>
    </w:rPr>
  </w:style>
  <w:style w:type="paragraph" w:customStyle="1" w:styleId="33">
    <w:name w:val="BodyText1I2"/>
    <w:basedOn w:val="34"/>
    <w:next w:val="36"/>
    <w:qFormat/>
    <w:uiPriority w:val="99"/>
    <w:pPr>
      <w:ind w:firstLine="420" w:firstLineChars="200"/>
    </w:pPr>
  </w:style>
  <w:style w:type="paragraph" w:customStyle="1" w:styleId="34">
    <w:name w:val="BodyTextIndent"/>
    <w:basedOn w:val="1"/>
    <w:next w:val="35"/>
    <w:qFormat/>
    <w:uiPriority w:val="99"/>
    <w:pPr>
      <w:spacing w:after="120"/>
      <w:ind w:left="420" w:leftChars="200"/>
      <w:textAlignment w:val="baseline"/>
    </w:pPr>
  </w:style>
  <w:style w:type="paragraph" w:customStyle="1" w:styleId="35">
    <w:name w:val="EnvelopeReturn"/>
    <w:basedOn w:val="1"/>
    <w:qFormat/>
    <w:uiPriority w:val="99"/>
    <w:pPr>
      <w:snapToGrid w:val="0"/>
      <w:textAlignment w:val="baseline"/>
    </w:pPr>
    <w:rPr>
      <w:rFonts w:ascii="Arial" w:hAnsi="Arial" w:cs="Arial"/>
    </w:rPr>
  </w:style>
  <w:style w:type="paragraph" w:customStyle="1" w:styleId="36">
    <w:name w:val="UserStyle_136"/>
    <w:basedOn w:val="1"/>
    <w:next w:val="1"/>
    <w:qFormat/>
    <w:uiPriority w:val="0"/>
    <w:pPr>
      <w:spacing w:after="120" w:line="320" w:lineRule="atLeast"/>
      <w:ind w:firstLine="200" w:firstLineChars="200"/>
    </w:pPr>
    <w:rPr>
      <w:rFonts w:ascii="Arial" w:hAnsi="Arial"/>
      <w:kern w:val="0"/>
    </w:rPr>
  </w:style>
  <w:style w:type="character" w:customStyle="1" w:styleId="37">
    <w:name w:val="apple-converted-space"/>
    <w:basedOn w:val="27"/>
    <w:qFormat/>
    <w:uiPriority w:val="0"/>
  </w:style>
  <w:style w:type="character" w:customStyle="1" w:styleId="38">
    <w:name w:val="paginate_button"/>
    <w:basedOn w:val="27"/>
    <w:qFormat/>
    <w:uiPriority w:val="0"/>
    <w:rPr>
      <w:bdr w:val="single" w:color="CCCCCC" w:sz="6" w:space="0"/>
    </w:rPr>
  </w:style>
  <w:style w:type="character" w:customStyle="1" w:styleId="39">
    <w:name w:val="more1"/>
    <w:basedOn w:val="27"/>
    <w:qFormat/>
    <w:uiPriority w:val="0"/>
  </w:style>
  <w:style w:type="character" w:customStyle="1" w:styleId="40">
    <w:name w:val="paginate_active"/>
    <w:basedOn w:val="27"/>
    <w:qFormat/>
    <w:uiPriority w:val="0"/>
    <w:rPr>
      <w:bdr w:val="single" w:color="FD6D01" w:sz="6" w:space="0"/>
      <w:shd w:val="clear" w:color="auto" w:fill="FFEDE1"/>
    </w:rPr>
  </w:style>
  <w:style w:type="character" w:customStyle="1" w:styleId="41">
    <w:name w:val="more2"/>
    <w:basedOn w:val="27"/>
    <w:autoRedefine/>
    <w:qFormat/>
    <w:uiPriority w:val="0"/>
  </w:style>
  <w:style w:type="character" w:customStyle="1" w:styleId="42">
    <w:name w:val="纯文本 Char1"/>
    <w:qFormat/>
    <w:uiPriority w:val="0"/>
    <w:rPr>
      <w:rFonts w:ascii="宋体" w:cs="Courier New"/>
      <w:kern w:val="2"/>
      <w:sz w:val="21"/>
      <w:szCs w:val="21"/>
      <w:lang w:val="en-US" w:eastAsia="zh-CN" w:bidi="ar-SA"/>
    </w:rPr>
  </w:style>
  <w:style w:type="character" w:customStyle="1" w:styleId="43">
    <w:name w:val="纯文本 Char"/>
    <w:basedOn w:val="27"/>
    <w:link w:val="14"/>
    <w:qFormat/>
    <w:uiPriority w:val="0"/>
    <w:rPr>
      <w:rFonts w:ascii="宋体" w:hAnsi="Courier New" w:eastAsia="宋体"/>
      <w:kern w:val="2"/>
      <w:sz w:val="21"/>
      <w:lang w:val="en-US" w:eastAsia="zh-CN" w:bidi="ar-SA"/>
    </w:rPr>
  </w:style>
  <w:style w:type="character" w:customStyle="1" w:styleId="44">
    <w:name w:val="right4"/>
    <w:basedOn w:val="27"/>
    <w:qFormat/>
    <w:uiPriority w:val="0"/>
    <w:rPr>
      <w:color w:val="999999"/>
    </w:rPr>
  </w:style>
  <w:style w:type="character" w:customStyle="1" w:styleId="45">
    <w:name w:val="more3"/>
    <w:basedOn w:val="27"/>
    <w:autoRedefine/>
    <w:qFormat/>
    <w:uiPriority w:val="0"/>
  </w:style>
  <w:style w:type="character" w:customStyle="1" w:styleId="46">
    <w:name w:val="inforight"/>
    <w:basedOn w:val="27"/>
    <w:qFormat/>
    <w:uiPriority w:val="0"/>
  </w:style>
  <w:style w:type="character" w:customStyle="1" w:styleId="47">
    <w:name w:val="cdropright"/>
    <w:basedOn w:val="27"/>
    <w:autoRedefine/>
    <w:qFormat/>
    <w:uiPriority w:val="0"/>
  </w:style>
  <w:style w:type="character" w:customStyle="1" w:styleId="48">
    <w:name w:val="right3"/>
    <w:basedOn w:val="27"/>
    <w:qFormat/>
    <w:uiPriority w:val="0"/>
    <w:rPr>
      <w:color w:val="999999"/>
    </w:rPr>
  </w:style>
  <w:style w:type="character" w:customStyle="1" w:styleId="49">
    <w:name w:val="more"/>
    <w:basedOn w:val="27"/>
    <w:qFormat/>
    <w:uiPriority w:val="0"/>
  </w:style>
  <w:style w:type="character" w:customStyle="1" w:styleId="50">
    <w:name w:val="页脚 Char"/>
    <w:basedOn w:val="27"/>
    <w:link w:val="18"/>
    <w:qFormat/>
    <w:uiPriority w:val="99"/>
    <w:rPr>
      <w:kern w:val="2"/>
      <w:sz w:val="18"/>
      <w:szCs w:val="18"/>
    </w:rPr>
  </w:style>
  <w:style w:type="character" w:customStyle="1" w:styleId="51">
    <w:name w:val="cdropleft"/>
    <w:basedOn w:val="27"/>
    <w:autoRedefine/>
    <w:qFormat/>
    <w:uiPriority w:val="0"/>
  </w:style>
  <w:style w:type="paragraph" w:customStyle="1" w:styleId="52">
    <w:name w:val="z-窗体底端1"/>
    <w:basedOn w:val="1"/>
    <w:next w:val="1"/>
    <w:autoRedefine/>
    <w:qFormat/>
    <w:uiPriority w:val="0"/>
    <w:pPr>
      <w:pBdr>
        <w:top w:val="single" w:color="auto" w:sz="6" w:space="1"/>
      </w:pBdr>
      <w:jc w:val="center"/>
    </w:pPr>
    <w:rPr>
      <w:rFonts w:ascii="Arial"/>
      <w:vanish/>
      <w:sz w:val="16"/>
    </w:rPr>
  </w:style>
  <w:style w:type="paragraph" w:customStyle="1" w:styleId="53">
    <w:name w:val="p0"/>
    <w:basedOn w:val="1"/>
    <w:qFormat/>
    <w:uiPriority w:val="0"/>
    <w:pPr>
      <w:widowControl/>
    </w:pPr>
    <w:rPr>
      <w:kern w:val="0"/>
      <w:szCs w:val="21"/>
    </w:rPr>
  </w:style>
  <w:style w:type="paragraph" w:customStyle="1" w:styleId="54">
    <w:name w:val="z-窗体顶端1"/>
    <w:basedOn w:val="1"/>
    <w:next w:val="1"/>
    <w:qFormat/>
    <w:uiPriority w:val="0"/>
    <w:pPr>
      <w:pBdr>
        <w:bottom w:val="single" w:color="auto" w:sz="6" w:space="1"/>
      </w:pBdr>
      <w:jc w:val="center"/>
    </w:pPr>
    <w:rPr>
      <w:rFonts w:ascii="Arial"/>
      <w:vanish/>
      <w:sz w:val="16"/>
    </w:rPr>
  </w:style>
  <w:style w:type="paragraph" w:customStyle="1" w:styleId="55">
    <w:name w:val="_Style 140"/>
    <w:basedOn w:val="1"/>
    <w:qFormat/>
    <w:uiPriority w:val="0"/>
    <w:rPr>
      <w:sz w:val="28"/>
      <w:szCs w:val="28"/>
    </w:rPr>
  </w:style>
  <w:style w:type="paragraph" w:customStyle="1" w:styleId="56">
    <w:name w:val="Char Char Char Char"/>
    <w:basedOn w:val="1"/>
    <w:qFormat/>
    <w:uiPriority w:val="0"/>
    <w:pPr>
      <w:widowControl/>
      <w:spacing w:after="160" w:line="240" w:lineRule="exact"/>
      <w:jc w:val="left"/>
    </w:pPr>
    <w:rPr>
      <w:sz w:val="28"/>
      <w:szCs w:val="24"/>
    </w:rPr>
  </w:style>
  <w:style w:type="paragraph" w:customStyle="1" w:styleId="57">
    <w:name w:val="样式 ！正文 + 首行缩进:  2 字符"/>
    <w:basedOn w:val="1"/>
    <w:next w:val="1"/>
    <w:qFormat/>
    <w:uiPriority w:val="0"/>
    <w:pPr>
      <w:adjustRightInd w:val="0"/>
      <w:spacing w:line="360" w:lineRule="atLeast"/>
      <w:ind w:firstLine="480" w:firstLineChars="200"/>
      <w:textAlignment w:val="baseline"/>
    </w:pPr>
    <w:rPr>
      <w:rFonts w:hint="eastAsia" w:ascii="Arial" w:hAnsi="Arial" w:cs="宋体"/>
      <w:kern w:val="0"/>
      <w:sz w:val="20"/>
    </w:rPr>
  </w:style>
  <w:style w:type="character" w:customStyle="1" w:styleId="58">
    <w:name w:val="日期 Char"/>
    <w:link w:val="15"/>
    <w:qFormat/>
    <w:locked/>
    <w:uiPriority w:val="0"/>
    <w:rPr>
      <w:kern w:val="2"/>
      <w:sz w:val="24"/>
    </w:rPr>
  </w:style>
  <w:style w:type="paragraph" w:customStyle="1" w:styleId="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60">
    <w:name w:val="z-窗体顶端2"/>
    <w:basedOn w:val="1"/>
    <w:next w:val="1"/>
    <w:link w:val="61"/>
    <w:qFormat/>
    <w:uiPriority w:val="0"/>
    <w:pPr>
      <w:pBdr>
        <w:bottom w:val="single" w:color="auto" w:sz="6" w:space="1"/>
      </w:pBdr>
      <w:jc w:val="center"/>
    </w:pPr>
    <w:rPr>
      <w:rFonts w:ascii="Arial"/>
      <w:vanish/>
      <w:sz w:val="16"/>
    </w:rPr>
  </w:style>
  <w:style w:type="character" w:customStyle="1" w:styleId="61">
    <w:name w:val="z-窗体顶端 Char"/>
    <w:basedOn w:val="27"/>
    <w:link w:val="60"/>
    <w:qFormat/>
    <w:uiPriority w:val="0"/>
    <w:rPr>
      <w:rFonts w:ascii="Arial"/>
      <w:vanish/>
      <w:kern w:val="2"/>
      <w:sz w:val="16"/>
    </w:rPr>
  </w:style>
  <w:style w:type="character" w:customStyle="1" w:styleId="62">
    <w:name w:val="批注文字 Char"/>
    <w:basedOn w:val="27"/>
    <w:link w:val="9"/>
    <w:qFormat/>
    <w:uiPriority w:val="0"/>
    <w:rPr>
      <w:kern w:val="2"/>
      <w:sz w:val="21"/>
    </w:rPr>
  </w:style>
  <w:style w:type="character" w:customStyle="1" w:styleId="63">
    <w:name w:val="批注主题 Char"/>
    <w:basedOn w:val="62"/>
    <w:link w:val="24"/>
    <w:qFormat/>
    <w:uiPriority w:val="0"/>
    <w:rPr>
      <w:b/>
      <w:bCs/>
      <w:kern w:val="2"/>
      <w:sz w:val="21"/>
    </w:rPr>
  </w:style>
  <w:style w:type="character" w:customStyle="1" w:styleId="64">
    <w:name w:val="NormalCharacter"/>
    <w:qFormat/>
    <w:uiPriority w:val="99"/>
    <w:rPr>
      <w:rFonts w:ascii="Times New Roman" w:hAnsi="Times New Roman" w:eastAsia="宋体"/>
      <w:kern w:val="2"/>
      <w:sz w:val="24"/>
      <w:lang w:val="en-US" w:eastAsia="zh-CN"/>
    </w:rPr>
  </w:style>
  <w:style w:type="paragraph" w:customStyle="1" w:styleId="65">
    <w:name w:val="列出段落1"/>
    <w:basedOn w:val="1"/>
    <w:unhideWhenUsed/>
    <w:qFormat/>
    <w:uiPriority w:val="99"/>
    <w:pPr>
      <w:ind w:firstLine="420" w:firstLineChars="200"/>
    </w:pPr>
  </w:style>
  <w:style w:type="paragraph" w:styleId="66">
    <w:name w:val="List Paragraph"/>
    <w:basedOn w:val="1"/>
    <w:autoRedefine/>
    <w:qFormat/>
    <w:uiPriority w:val="34"/>
    <w:pPr>
      <w:autoSpaceDE w:val="0"/>
      <w:autoSpaceDN w:val="0"/>
      <w:ind w:left="100"/>
      <w:jc w:val="left"/>
    </w:pPr>
    <w:rPr>
      <w:rFonts w:ascii="宋体" w:hAnsi="宋体" w:cs="宋体"/>
      <w:kern w:val="0"/>
      <w:sz w:val="22"/>
      <w:szCs w:val="22"/>
      <w:lang w:eastAsia="en-US"/>
    </w:rPr>
  </w:style>
  <w:style w:type="paragraph" w:customStyle="1" w:styleId="67">
    <w:name w:val="p1"/>
    <w:basedOn w:val="1"/>
    <w:autoRedefine/>
    <w:qFormat/>
    <w:uiPriority w:val="0"/>
    <w:pPr>
      <w:spacing w:before="0" w:beforeAutospacing="0" w:after="0" w:afterAutospacing="0"/>
      <w:ind w:left="0" w:right="0"/>
      <w:jc w:val="both"/>
    </w:pPr>
    <w:rPr>
      <w:rFonts w:ascii="pingfang sc" w:hAnsi="pingfang sc" w:eastAsia="pingfang sc" w:cs="pingfang sc"/>
      <w:kern w:val="0"/>
      <w:sz w:val="26"/>
      <w:szCs w:val="26"/>
      <w:lang w:val="en-US" w:eastAsia="zh-CN" w:bidi="ar"/>
    </w:rPr>
  </w:style>
  <w:style w:type="paragraph" w:customStyle="1" w:styleId="6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9">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70">
    <w:name w:val="Normal Indent1"/>
    <w:basedOn w:val="1"/>
    <w:qFormat/>
    <w:uiPriority w:val="0"/>
    <w:pPr>
      <w:widowControl/>
      <w:ind w:firstLine="420"/>
      <w:jc w:val="left"/>
      <w:textAlignment w:val="baseline"/>
    </w:pPr>
    <w:rPr>
      <w:rFonts w:ascii="Times New Roman" w:hAnsi="Times New Roman" w:cs="Times New Roman"/>
      <w:kern w:val="0"/>
      <w:szCs w:val="20"/>
    </w:rPr>
  </w:style>
  <w:style w:type="paragraph" w:customStyle="1" w:styleId="71">
    <w:name w:val="Table Text"/>
    <w:basedOn w:val="1"/>
    <w:semiHidden/>
    <w:qFormat/>
    <w:uiPriority w:val="0"/>
    <w:rPr>
      <w:rFonts w:ascii="宋体" w:hAnsi="宋体" w:eastAsia="宋体" w:cs="宋体"/>
      <w:sz w:val="24"/>
      <w:szCs w:val="24"/>
      <w:lang w:val="en-US" w:eastAsia="en-US" w:bidi="ar-SA"/>
    </w:rPr>
  </w:style>
  <w:style w:type="table" w:customStyle="1" w:styleId="7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安徽精博建设工程管理咨询有限公司</Company>
  <Pages>69</Pages>
  <Words>18041</Words>
  <Characters>19327</Characters>
  <Lines>207</Lines>
  <Paragraphs>58</Paragraphs>
  <TotalTime>10</TotalTime>
  <ScaleCrop>false</ScaleCrop>
  <LinksUpToDate>false</LinksUpToDate>
  <CharactersWithSpaces>20154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2020-06-29T09:45:00Z</dcterms:created>
  <dc:creator>CN</dc:creator>
  <cp:lastModifiedBy>Almost</cp:lastModifiedBy>
  <cp:lastPrinted>2024-07-16T09:26:00Z</cp:lastPrinted>
  <dcterms:modified xsi:type="dcterms:W3CDTF">2026-09-30T07:01:27Z</dcterms:modified>
  <dc:title>-------------------------------------------------</dc:title>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F9F13D226F2F4A3ABDEDB2CBEEF7B902_13</vt:lpwstr>
  </property>
  <property fmtid="{D5CDD505-2E9C-101B-9397-08002B2CF9AE}" pid="4" name="KSOTemplateDocerSaveRecord">
    <vt:lpwstr>eyJoZGlkIjoiODUzYTJmNzUxNmYyOThlMTA4YjZlYmYwMGZiODhmNWEiLCJ1c2VySWQiOiI3MzMwNjgyODYifQ==</vt:lpwstr>
  </property>
</Properties>
</file>